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77144.xml.htm"/>
      <w:bookmarkStart w:id="1" w:name="kswkform4_178717714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Palmer Jennifer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STAR EQUITY HOLDINGS,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 FOREST AVENUE,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OLD GREENWICH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Star Equity Holdings, Inc.</w:t>
              </w:r>
            </w:hyperlink>
            <w:r>
              <w:rPr/>
              <w:t xml:space="preserve"> [ </w:t>
            </w:r>
            <w:r>
              <w:rPr>
                <w:rFonts w:ascii="Times;serif" w:hAnsi="Times;serif"/>
                <w:color w:val="0000FF"/>
                <w:sz w:val="24"/>
                <w:shd w:fill="FFFFFF" w:val="clear"/>
              </w:rPr>
              <w:t>STRR</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6"/>
        <w:gridCol w:w="904"/>
        <w:gridCol w:w="772"/>
        <w:gridCol w:w="600"/>
        <w:gridCol w:w="354"/>
        <w:gridCol w:w="824"/>
        <w:gridCol w:w="469"/>
        <w:gridCol w:w="631"/>
        <w:gridCol w:w="1188"/>
        <w:gridCol w:w="1016"/>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Preferred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460</w:t>
            </w:r>
          </w:p>
        </w:tc>
        <w:tc>
          <w:tcPr>
            <w:tcW w:w="4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1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920</w:t>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1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61"/>
        <w:gridCol w:w="636"/>
        <w:gridCol w:w="801"/>
        <w:gridCol w:w="936"/>
        <w:gridCol w:w="831"/>
        <w:gridCol w:w="846"/>
      </w:tblGrid>
      <w:tr>
        <w:trPr>
          <w:tblHeader w:val="true"/>
        </w:trPr>
        <w:tc>
          <w:tcPr>
            <w:tcW w:w="118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49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Series A Preferred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the right to receive, at settlement, one share of the Issuer's 10.0% Series A Cumulative Perpetual Preferred Stock, par value $0.001 per share (the "Series A Preferred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represents the settlement of Restricted Stock Units in shares of Series A Preferred Stock on their scheduled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August 18, 2025, the Reporting Person was granted Restricted Stock Units by Star Operating Companies, Inc. ("SOC"), each of which represented the right to receive, at settlement, one share of SOC Series A Preferred Stock ("SOC RSUs"). Pursuant to the Agreement and Plan of Merger, dated as of May 21, 2025, by and among SOC, the Issuer and HSON Merger Sub, Inc., a wholly owned subsidiary of the Issuer, the Reporting Person's SOC RSUs were exchanged for 460 Restricted Stock Units. As to this grant, one hundred percent (100%) of the Restricted Stock Units vested on August 18,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Hannah Bible, as Attorney-in-Fact for Jennifer Palmer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9196" TargetMode="External"/><Relationship Id="rId5" Type="http://schemas.openxmlformats.org/officeDocument/2006/relationships/hyperlink" Target="http://www.sec.gov/cgi-bin/browse-edgar?action=getcompany&amp;CIK=00012107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748</Words>
  <Characters>3989</Characters>
  <CharactersWithSpaces>4655</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