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Nelson Connia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Hudson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HSON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HUDSON GLOBAL,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08/15/2025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53 FOREST AVENUE, SUITE 102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OLD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GREENWICH  </w:t>
            </w:r>
            <w:r>
              <w:rPr>
                <w:rFonts w:ascii="Times New Roman" w:cs="Times New Roman" w:eastAsia="Times New Roman" w:hAnsi="Times New Roman"/>
                <w:sz w:val="24"/>
                <w:szCs w:val="24"/>
                <w:color w:val="0000FF"/>
                <w:vertAlign w:val="superscript"/>
              </w:rPr>
              <w:t>CT</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gridSpan w:val="2"/>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08/15/2025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1,130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41,487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Units credited to the reporting person's account under the Hudson Global, Inc. (the "Company") Director Deferred Share Plan. Each Share Unit is the economic equivalent of one share of Common Stock. Share Units are payable only in Common Stock up to 90 days after a director's separation from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K. Diamond,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1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Connia</w:t>
        <w:tab/>
        <w:t>08/18/2025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7555"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2025-08-18T19:22:50Z</dcterms:created>
  <dcterms:modified xsi:type="dcterms:W3CDTF">2025-08-18T19:22:50Z</dcterms:modified>
</cp:coreProperties>
</file>