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6325.xml.htm"/>
      <w:bookmarkStart w:id="1" w:name="kswkform4_17914963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5"/>
        <w:gridCol w:w="774"/>
        <w:gridCol w:w="601"/>
        <w:gridCol w:w="351"/>
        <w:gridCol w:w="855"/>
        <w:gridCol w:w="461"/>
        <w:gridCol w:w="717"/>
        <w:gridCol w:w="1175"/>
        <w:gridCol w:w="100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9.17</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9.17</w:t>
            </w:r>
            <w:r>
              <w:rPr>
                <w:rFonts w:ascii="Times;serif" w:hAnsi="Times;serif"/>
                <w:color w:val="008000"/>
                <w:position w:val="7"/>
                <w:sz w:val="16"/>
                <w:sz w:val="20"/>
                <w:shd w:fill="FFFFFF" w:val="clear"/>
              </w:rPr>
              <w:t>(2)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759,937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rounded to the nearest cent. These shares were sold in multiple transactions at prices ranging from $9.16 to $9.22 on October 6, 2026, $9.16 to $9.23 on October 7, 2026, and $9.16 to $9.21 on October 8, 2026. The Reporting Person undertakes to provide the Issuer and any security holder of the Issuer, or the staff of the Securities and Exchange Commission, upon request, full information regarding the number of shares sold at each separate price such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4019</Characters>
  <CharactersWithSpaces>4692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