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HUDSON GLOBAL,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880" w:type="dxa"/>
        <w:tblCellMar>
          <w:top w:w="0" w:type="dxa"/>
          <w:left w:w="0" w:type="dxa"/>
          <w:bottom w:w="0" w:type="dxa"/>
          <w:right w:w="0" w:type="dxa"/>
        </w:tblCellMar>
      </w:tblPr>
      <w:tr>
        <w:trPr>
          <w:trHeight w:val="230"/>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001-38704</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59-3547281</w:t>
            </w:r>
          </w:p>
        </w:tc>
      </w:tr>
      <w:tr>
        <w:trPr>
          <w:trHeight w:val="189"/>
        </w:trPr>
        <w:tc>
          <w:tcPr>
            <w:tcW w:w="3200" w:type="dxa"/>
            <w:vAlign w:val="bottom"/>
          </w:tcPr>
          <w:p>
            <w:pPr>
              <w:jc w:val="center"/>
              <w:ind w:right="1050"/>
              <w:spacing w:after="0" w:line="189"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4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660" w:type="dxa"/>
            <w:vAlign w:val="bottom"/>
          </w:tcPr>
          <w:p>
            <w:pPr>
              <w:jc w:val="center"/>
              <w:ind w:left="1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 Suite 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3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(475) 988-2068</w:t>
      </w:r>
    </w:p>
    <w:p>
      <w:pPr>
        <w:spacing w:after="0" w:line="185"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480" w:hanging="436"/>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520" w:hanging="449"/>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520" w:hanging="449"/>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740" w:firstLine="71"/>
        <w:spacing w:after="0" w:line="383" w:lineRule="auto"/>
        <w:tabs>
          <w:tab w:leader="none" w:pos="5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0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3020" w:type="dxa"/>
            <w:vAlign w:val="bottom"/>
            <w:gridSpan w:val="2"/>
          </w:tcPr>
          <w:p>
            <w:pPr>
              <w:jc w:val="center"/>
              <w:ind w:right="172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56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gridSpan w:val="2"/>
          </w:tcPr>
          <w:p>
            <w:pPr>
              <w:jc w:val="center"/>
              <w:ind w:left="470"/>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45"/>
        </w:trPr>
        <w:tc>
          <w:tcPr>
            <w:tcW w:w="35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HSON</w:t>
            </w:r>
          </w:p>
        </w:tc>
        <w:tc>
          <w:tcPr>
            <w:tcW w:w="56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81" w:gutter="0" w:footer="0" w:header="0"/>
        </w:sectPr>
      </w:pPr>
    </w:p>
    <w:bookmarkStart w:id="1" w:name="page2"/>
    <w:bookmarkEnd w:id="1"/>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held its Annual Meeting on July 31, 2024. As of the close of business on June 25, 2024, the record date for the Annual Meeting, there were 2,754,602 shares of the Company’s common stock outstanding and entitled to vote. A total of 2,526,125 shares of Common Stock were represented in person or by proxy at the Annual Meeting, which constituted a quorum to conduct business at the meeting. At the Annual Meeting, the Company’s stockholders:</w:t>
      </w:r>
    </w:p>
    <w:p>
      <w:pPr>
        <w:spacing w:after="0" w:line="3" w:lineRule="exact"/>
        <w:rPr>
          <w:sz w:val="20"/>
          <w:szCs w:val="20"/>
          <w:color w:val="auto"/>
        </w:rPr>
      </w:pPr>
    </w:p>
    <w:p>
      <w:pPr>
        <w:ind w:left="980" w:hanging="324"/>
        <w:spacing w:after="0" w:line="260" w:lineRule="auto"/>
        <w:tabs>
          <w:tab w:leader="none" w:pos="10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four directors to serve on the Company’s board of directors until the 2025 annual meeting of stockholders and until their successors are duly elected and qualified (Proposal 1);</w:t>
      </w:r>
    </w:p>
    <w:p>
      <w:pPr>
        <w:spacing w:after="0" w:line="181" w:lineRule="exact"/>
        <w:rPr>
          <w:rFonts w:ascii="Times New Roman" w:cs="Times New Roman" w:eastAsia="Times New Roman" w:hAnsi="Times New Roman"/>
          <w:sz w:val="18"/>
          <w:szCs w:val="18"/>
          <w:color w:val="auto"/>
        </w:rPr>
      </w:pPr>
    </w:p>
    <w:p>
      <w:pPr>
        <w:ind w:left="980" w:hanging="324"/>
        <w:spacing w:after="0" w:line="282" w:lineRule="auto"/>
        <w:tabs>
          <w:tab w:leader="none" w:pos="12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 non-binding advisory basis, the compensation of the Company’s named executive officers as disclosed in the Proxy Statement (Proposal 2);</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amendment to the Company’s Amended and Restated Certificate of Incorporation designed to protect the tax benefits of the Company’s net operating losses (Proposal 3);</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1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amendment to the Company’s Rights Agreement (the “Rights Agreement”) by and between the Company and Computershare Trust Company, N.A., to extend its term through October 15, 2027 (Proposal 4); and</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Wolf &amp; Company, P.C. as the Company’s independent registered public accounting firm to audit the Company’s financial statements for the fiscal year ending December 31, 2024 (Proposal 5).</w:t>
      </w:r>
    </w:p>
    <w:p>
      <w:pPr>
        <w:ind w:left="660"/>
        <w:spacing w:after="0"/>
        <w:rPr>
          <w:sz w:val="20"/>
          <w:szCs w:val="20"/>
          <w:color w:val="auto"/>
        </w:rPr>
      </w:pPr>
      <w:r>
        <w:rPr>
          <w:rFonts w:ascii="Times New Roman" w:cs="Times New Roman" w:eastAsia="Times New Roman" w:hAnsi="Times New Roman"/>
          <w:sz w:val="18"/>
          <w:szCs w:val="18"/>
          <w:color w:val="auto"/>
        </w:rPr>
        <w:t>For additional information on these proposals, please see the Proxy Statement. The voting results for each of these proposals are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Proposal 1 – Election of Board of Directors</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Nominee</w:t>
            </w:r>
          </w:p>
        </w:tc>
        <w:tc>
          <w:tcPr>
            <w:tcW w:w="2380" w:type="dxa"/>
            <w:vAlign w:val="bottom"/>
            <w:gridSpan w:val="2"/>
            <w:vMerge w:val="restart"/>
          </w:tcPr>
          <w:p>
            <w:pPr>
              <w:ind w:left="580"/>
              <w:spacing w:after="0"/>
              <w:rPr>
                <w:sz w:val="20"/>
                <w:szCs w:val="20"/>
                <w:color w:val="auto"/>
              </w:rPr>
            </w:pPr>
            <w:r>
              <w:rPr>
                <w:rFonts w:ascii="Times New Roman" w:cs="Times New Roman" w:eastAsia="Times New Roman" w:hAnsi="Times New Roman"/>
                <w:sz w:val="22"/>
                <w:szCs w:val="22"/>
                <w:b w:val="1"/>
                <w:bCs w:val="1"/>
                <w:color w:val="auto"/>
              </w:rPr>
              <w:t>Votes For</w:t>
            </w:r>
          </w:p>
        </w:tc>
        <w:tc>
          <w:tcPr>
            <w:tcW w:w="2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Votes Withheld</w:t>
            </w:r>
          </w:p>
        </w:tc>
        <w:tc>
          <w:tcPr>
            <w:tcW w:w="2060" w:type="dxa"/>
            <w:vAlign w:val="bottom"/>
          </w:tcPr>
          <w:p>
            <w:pPr>
              <w:ind w:left="680"/>
              <w:spacing w:after="0"/>
              <w:rPr>
                <w:sz w:val="20"/>
                <w:szCs w:val="20"/>
                <w:color w:val="auto"/>
              </w:rPr>
            </w:pPr>
            <w:r>
              <w:rPr>
                <w:rFonts w:ascii="Times New Roman" w:cs="Times New Roman" w:eastAsia="Times New Roman" w:hAnsi="Times New Roman"/>
                <w:sz w:val="22"/>
                <w:szCs w:val="22"/>
                <w:b w:val="1"/>
                <w:bCs w:val="1"/>
                <w:color w:val="auto"/>
              </w:rPr>
              <w:t>Broker</w:t>
            </w:r>
          </w:p>
        </w:tc>
        <w:tc>
          <w:tcPr>
            <w:tcW w:w="0" w:type="dxa"/>
            <w:vAlign w:val="bottom"/>
          </w:tcPr>
          <w:p>
            <w:pPr>
              <w:spacing w:after="0"/>
              <w:rPr>
                <w:sz w:val="1"/>
                <w:szCs w:val="1"/>
                <w:color w:val="auto"/>
              </w:rPr>
            </w:pPr>
          </w:p>
        </w:tc>
      </w:tr>
      <w:tr>
        <w:trPr>
          <w:trHeight w:val="283"/>
        </w:trPr>
        <w:tc>
          <w:tcPr>
            <w:tcW w:w="4440" w:type="dxa"/>
            <w:vAlign w:val="bottom"/>
            <w:gridSpan w:val="2"/>
            <w:vMerge w:val="continue"/>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2360" w:type="dxa"/>
            <w:vAlign w:val="bottom"/>
            <w:gridSpan w:val="2"/>
            <w:vMerge w:val="continue"/>
          </w:tcPr>
          <w:p>
            <w:pPr>
              <w:spacing w:after="0"/>
              <w:rPr>
                <w:sz w:val="24"/>
                <w:szCs w:val="24"/>
                <w:color w:val="auto"/>
              </w:rPr>
            </w:pPr>
          </w:p>
        </w:tc>
        <w:tc>
          <w:tcPr>
            <w:tcW w:w="20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Non-Votes</w:t>
            </w:r>
          </w:p>
        </w:tc>
        <w:tc>
          <w:tcPr>
            <w:tcW w:w="0" w:type="dxa"/>
            <w:vAlign w:val="bottom"/>
          </w:tcPr>
          <w:p>
            <w:pPr>
              <w:spacing w:after="0"/>
              <w:rPr>
                <w:sz w:val="1"/>
                <w:szCs w:val="1"/>
                <w:color w:val="auto"/>
              </w:rPr>
            </w:pPr>
          </w:p>
        </w:tc>
      </w:tr>
      <w:tr>
        <w:trPr>
          <w:trHeight w:val="263"/>
        </w:trPr>
        <w:tc>
          <w:tcPr>
            <w:tcW w:w="410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Mimi K. Drake</w:t>
            </w:r>
          </w:p>
        </w:tc>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2,152,414</w:t>
            </w:r>
          </w:p>
        </w:tc>
        <w:tc>
          <w:tcPr>
            <w:tcW w:w="340" w:type="dxa"/>
            <w:vAlign w:val="bottom"/>
            <w:shd w:val="clear" w:color="auto" w:fill="CCEEFF"/>
          </w:tcPr>
          <w:p>
            <w:pPr>
              <w:spacing w:after="0"/>
              <w:rPr>
                <w:sz w:val="23"/>
                <w:szCs w:val="2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3,234</w:t>
            </w:r>
          </w:p>
        </w:tc>
        <w:tc>
          <w:tcPr>
            <w:tcW w:w="320" w:type="dxa"/>
            <w:vAlign w:val="bottom"/>
            <w:shd w:val="clear" w:color="auto" w:fill="CCEEFF"/>
          </w:tcPr>
          <w:p>
            <w:pPr>
              <w:spacing w:after="0"/>
              <w:rPr>
                <w:sz w:val="23"/>
                <w:szCs w:val="23"/>
                <w:color w:val="auto"/>
              </w:rPr>
            </w:pPr>
          </w:p>
        </w:tc>
        <w:tc>
          <w:tcPr>
            <w:tcW w:w="2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370,477</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Jeffrey E. Eberwein</w:t>
            </w:r>
          </w:p>
        </w:tc>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2,152,639</w:t>
            </w:r>
          </w:p>
        </w:tc>
        <w:tc>
          <w:tcPr>
            <w:tcW w:w="340" w:type="dxa"/>
            <w:vAlign w:val="bottom"/>
            <w:shd w:val="clear" w:color="auto" w:fill="CCEEFF"/>
          </w:tcPr>
          <w:p>
            <w:pPr>
              <w:spacing w:after="0"/>
              <w:rPr>
                <w:sz w:val="23"/>
                <w:szCs w:val="2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3,009</w:t>
            </w:r>
          </w:p>
        </w:tc>
        <w:tc>
          <w:tcPr>
            <w:tcW w:w="320" w:type="dxa"/>
            <w:vAlign w:val="bottom"/>
            <w:shd w:val="clear" w:color="auto" w:fill="CCEEFF"/>
          </w:tcPr>
          <w:p>
            <w:pPr>
              <w:spacing w:after="0"/>
              <w:rPr>
                <w:sz w:val="23"/>
                <w:szCs w:val="23"/>
                <w:color w:val="auto"/>
              </w:rPr>
            </w:pPr>
          </w:p>
        </w:tc>
        <w:tc>
          <w:tcPr>
            <w:tcW w:w="2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370,477</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Connia M. Nelson</w:t>
            </w:r>
          </w:p>
        </w:tc>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2,152,846</w:t>
            </w:r>
          </w:p>
        </w:tc>
        <w:tc>
          <w:tcPr>
            <w:tcW w:w="340" w:type="dxa"/>
            <w:vAlign w:val="bottom"/>
            <w:shd w:val="clear" w:color="auto" w:fill="CCEEFF"/>
          </w:tcPr>
          <w:p>
            <w:pPr>
              <w:spacing w:after="0"/>
              <w:rPr>
                <w:sz w:val="23"/>
                <w:szCs w:val="2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2,802</w:t>
            </w:r>
          </w:p>
        </w:tc>
        <w:tc>
          <w:tcPr>
            <w:tcW w:w="320" w:type="dxa"/>
            <w:vAlign w:val="bottom"/>
            <w:shd w:val="clear" w:color="auto" w:fill="CCEEFF"/>
          </w:tcPr>
          <w:p>
            <w:pPr>
              <w:spacing w:after="0"/>
              <w:rPr>
                <w:sz w:val="23"/>
                <w:szCs w:val="23"/>
                <w:color w:val="auto"/>
              </w:rPr>
            </w:pPr>
          </w:p>
        </w:tc>
        <w:tc>
          <w:tcPr>
            <w:tcW w:w="2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370,477</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Robert G. Pearse</w:t>
            </w:r>
          </w:p>
        </w:tc>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2"/>
                <w:szCs w:val="22"/>
                <w:color w:val="auto"/>
              </w:rPr>
              <w:t>2,152,847</w:t>
            </w:r>
          </w:p>
        </w:tc>
        <w:tc>
          <w:tcPr>
            <w:tcW w:w="340" w:type="dxa"/>
            <w:vAlign w:val="bottom"/>
            <w:shd w:val="clear" w:color="auto" w:fill="CCEEFF"/>
          </w:tcPr>
          <w:p>
            <w:pPr>
              <w:spacing w:after="0"/>
              <w:rPr>
                <w:sz w:val="23"/>
                <w:szCs w:val="2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2,801</w:t>
            </w:r>
          </w:p>
        </w:tc>
        <w:tc>
          <w:tcPr>
            <w:tcW w:w="320" w:type="dxa"/>
            <w:vAlign w:val="bottom"/>
            <w:shd w:val="clear" w:color="auto" w:fill="CCEEFF"/>
          </w:tcPr>
          <w:p>
            <w:pPr>
              <w:spacing w:after="0"/>
              <w:rPr>
                <w:sz w:val="23"/>
                <w:szCs w:val="23"/>
                <w:color w:val="auto"/>
              </w:rPr>
            </w:pPr>
          </w:p>
        </w:tc>
        <w:tc>
          <w:tcPr>
            <w:tcW w:w="2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370,477</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Proposal 2 – Approval, on a non-binding advisory basis, of the compensation of the Company’s named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180" w:type="dxa"/>
            <w:vAlign w:val="bottom"/>
            <w:gridSpan w:val="2"/>
          </w:tcPr>
          <w:p>
            <w:pPr>
              <w:ind w:left="1020"/>
              <w:spacing w:after="0"/>
              <w:rPr>
                <w:sz w:val="20"/>
                <w:szCs w:val="20"/>
                <w:color w:val="auto"/>
              </w:rPr>
            </w:pPr>
            <w:r>
              <w:rPr>
                <w:rFonts w:ascii="Times New Roman" w:cs="Times New Roman" w:eastAsia="Times New Roman" w:hAnsi="Times New Roman"/>
                <w:sz w:val="22"/>
                <w:szCs w:val="22"/>
                <w:b w:val="1"/>
                <w:bCs w:val="1"/>
                <w:color w:val="auto"/>
              </w:rPr>
              <w:t>Votes For</w:t>
            </w:r>
          </w:p>
        </w:tc>
        <w:tc>
          <w:tcPr>
            <w:tcW w:w="276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7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7"/>
              </w:rPr>
              <w:t>Abstentions</w:t>
            </w:r>
          </w:p>
        </w:tc>
        <w:tc>
          <w:tcPr>
            <w:tcW w:w="2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64"/>
        </w:trPr>
        <w:tc>
          <w:tcPr>
            <w:tcW w:w="29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r>
      <w:tr>
        <w:trPr>
          <w:trHeight w:val="270"/>
        </w:trPr>
        <w:tc>
          <w:tcPr>
            <w:tcW w:w="2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22"/>
                <w:szCs w:val="22"/>
                <w:color w:val="auto"/>
              </w:rPr>
              <w:t>1,731,417</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421,145</w:t>
            </w:r>
          </w:p>
        </w:tc>
        <w:tc>
          <w:tcPr>
            <w:tcW w:w="240" w:type="dxa"/>
            <w:vAlign w:val="bottom"/>
            <w:shd w:val="clear" w:color="auto" w:fill="CCEEFF"/>
          </w:tcPr>
          <w:p>
            <w:pPr>
              <w:spacing w:after="0"/>
              <w:rPr>
                <w:sz w:val="23"/>
                <w:szCs w:val="23"/>
                <w:color w:val="auto"/>
              </w:rPr>
            </w:pPr>
          </w:p>
        </w:tc>
        <w:tc>
          <w:tcPr>
            <w:tcW w:w="25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22"/>
                <w:szCs w:val="22"/>
                <w:color w:val="auto"/>
              </w:rPr>
              <w:t>3,086</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370,477</w:t>
            </w:r>
          </w:p>
        </w:tc>
      </w:tr>
    </w:tbl>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Proposal 3 – Approval of an amendment to the Company’s Amended and Restated Certificate of Incorporation designed to protect the tax benefits of the Company’s net operating losses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3180" w:type="dxa"/>
            <w:vAlign w:val="bottom"/>
            <w:gridSpan w:val="2"/>
          </w:tcPr>
          <w:p>
            <w:pPr>
              <w:ind w:left="1020"/>
              <w:spacing w:after="0"/>
              <w:rPr>
                <w:sz w:val="20"/>
                <w:szCs w:val="20"/>
                <w:color w:val="auto"/>
              </w:rPr>
            </w:pPr>
            <w:r>
              <w:rPr>
                <w:rFonts w:ascii="Times New Roman" w:cs="Times New Roman" w:eastAsia="Times New Roman" w:hAnsi="Times New Roman"/>
                <w:sz w:val="22"/>
                <w:szCs w:val="22"/>
                <w:b w:val="1"/>
                <w:bCs w:val="1"/>
                <w:color w:val="auto"/>
              </w:rPr>
              <w:t>Votes For</w:t>
            </w:r>
          </w:p>
        </w:tc>
        <w:tc>
          <w:tcPr>
            <w:tcW w:w="276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7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7"/>
              </w:rPr>
              <w:t>Abstentions</w:t>
            </w:r>
          </w:p>
        </w:tc>
        <w:tc>
          <w:tcPr>
            <w:tcW w:w="2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64"/>
        </w:trPr>
        <w:tc>
          <w:tcPr>
            <w:tcW w:w="29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r>
      <w:tr>
        <w:trPr>
          <w:trHeight w:val="270"/>
        </w:trPr>
        <w:tc>
          <w:tcPr>
            <w:tcW w:w="2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22"/>
                <w:szCs w:val="22"/>
                <w:color w:val="auto"/>
              </w:rPr>
              <w:t>2,151,852</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22"/>
                <w:szCs w:val="22"/>
                <w:color w:val="auto"/>
              </w:rPr>
              <w:t>716</w:t>
            </w:r>
          </w:p>
        </w:tc>
        <w:tc>
          <w:tcPr>
            <w:tcW w:w="240" w:type="dxa"/>
            <w:vAlign w:val="bottom"/>
            <w:shd w:val="clear" w:color="auto" w:fill="CCEEFF"/>
          </w:tcPr>
          <w:p>
            <w:pPr>
              <w:spacing w:after="0"/>
              <w:rPr>
                <w:sz w:val="23"/>
                <w:szCs w:val="23"/>
                <w:color w:val="auto"/>
              </w:rPr>
            </w:pPr>
          </w:p>
        </w:tc>
        <w:tc>
          <w:tcPr>
            <w:tcW w:w="25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22"/>
                <w:szCs w:val="22"/>
                <w:color w:val="auto"/>
              </w:rPr>
              <w:t>3,080</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370,477</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Proposal 4 – Approval of the amendment of the Rights Agreement to extend its term through October 15, 2027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180" w:type="dxa"/>
            <w:vAlign w:val="bottom"/>
            <w:gridSpan w:val="2"/>
          </w:tcPr>
          <w:p>
            <w:pPr>
              <w:ind w:left="1020"/>
              <w:spacing w:after="0"/>
              <w:rPr>
                <w:sz w:val="20"/>
                <w:szCs w:val="20"/>
                <w:color w:val="auto"/>
              </w:rPr>
            </w:pPr>
            <w:r>
              <w:rPr>
                <w:rFonts w:ascii="Times New Roman" w:cs="Times New Roman" w:eastAsia="Times New Roman" w:hAnsi="Times New Roman"/>
                <w:sz w:val="22"/>
                <w:szCs w:val="22"/>
                <w:b w:val="1"/>
                <w:bCs w:val="1"/>
                <w:color w:val="auto"/>
              </w:rPr>
              <w:t>Votes For</w:t>
            </w:r>
          </w:p>
        </w:tc>
        <w:tc>
          <w:tcPr>
            <w:tcW w:w="276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7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7"/>
              </w:rPr>
              <w:t>Abstentions</w:t>
            </w:r>
          </w:p>
        </w:tc>
        <w:tc>
          <w:tcPr>
            <w:tcW w:w="2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64"/>
        </w:trPr>
        <w:tc>
          <w:tcPr>
            <w:tcW w:w="29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r>
      <w:tr>
        <w:trPr>
          <w:trHeight w:val="270"/>
        </w:trPr>
        <w:tc>
          <w:tcPr>
            <w:tcW w:w="2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22"/>
                <w:szCs w:val="22"/>
                <w:color w:val="auto"/>
              </w:rPr>
              <w:t>2,013,218</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138,790</w:t>
            </w:r>
          </w:p>
        </w:tc>
        <w:tc>
          <w:tcPr>
            <w:tcW w:w="240" w:type="dxa"/>
            <w:vAlign w:val="bottom"/>
            <w:shd w:val="clear" w:color="auto" w:fill="CCEEFF"/>
          </w:tcPr>
          <w:p>
            <w:pPr>
              <w:spacing w:after="0"/>
              <w:rPr>
                <w:sz w:val="23"/>
                <w:szCs w:val="23"/>
                <w:color w:val="auto"/>
              </w:rPr>
            </w:pPr>
          </w:p>
        </w:tc>
        <w:tc>
          <w:tcPr>
            <w:tcW w:w="25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22"/>
                <w:szCs w:val="22"/>
                <w:color w:val="auto"/>
              </w:rPr>
              <w:t>3,640</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370,477</w:t>
            </w:r>
          </w:p>
        </w:tc>
      </w:tr>
    </w:tbl>
    <w:p>
      <w:pPr>
        <w:spacing w:after="0" w:line="277" w:lineRule="exact"/>
        <w:rPr>
          <w:sz w:val="20"/>
          <w:szCs w:val="20"/>
          <w:color w:val="auto"/>
        </w:rPr>
      </w:pPr>
    </w:p>
    <w:p>
      <w:pPr>
        <w:ind w:right="68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Proposal 5 – Ratification of the appointment of Wolf &amp; Company, P.C. as the Company’s independent registered public accounting firm to audit the Company’s financial statements for the fiscal year ending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180" w:type="dxa"/>
            <w:vAlign w:val="bottom"/>
            <w:gridSpan w:val="2"/>
          </w:tcPr>
          <w:p>
            <w:pPr>
              <w:ind w:left="1020"/>
              <w:spacing w:after="0"/>
              <w:rPr>
                <w:sz w:val="20"/>
                <w:szCs w:val="20"/>
                <w:color w:val="auto"/>
              </w:rPr>
            </w:pPr>
            <w:r>
              <w:rPr>
                <w:rFonts w:ascii="Times New Roman" w:cs="Times New Roman" w:eastAsia="Times New Roman" w:hAnsi="Times New Roman"/>
                <w:sz w:val="22"/>
                <w:szCs w:val="22"/>
                <w:b w:val="1"/>
                <w:bCs w:val="1"/>
                <w:color w:val="auto"/>
              </w:rPr>
              <w:t>Votes For</w:t>
            </w:r>
          </w:p>
        </w:tc>
        <w:tc>
          <w:tcPr>
            <w:tcW w:w="276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7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7"/>
              </w:rPr>
              <w:t>Abstentions</w:t>
            </w:r>
          </w:p>
        </w:tc>
        <w:tc>
          <w:tcPr>
            <w:tcW w:w="2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64"/>
        </w:trPr>
        <w:tc>
          <w:tcPr>
            <w:tcW w:w="29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r>
      <w:tr>
        <w:trPr>
          <w:trHeight w:val="270"/>
        </w:trPr>
        <w:tc>
          <w:tcPr>
            <w:tcW w:w="2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22"/>
                <w:szCs w:val="22"/>
                <w:color w:val="auto"/>
              </w:rPr>
              <w:t>2,473,357</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22"/>
                <w:szCs w:val="22"/>
                <w:color w:val="auto"/>
              </w:rPr>
              <w:t>36,944</w:t>
            </w:r>
          </w:p>
        </w:tc>
        <w:tc>
          <w:tcPr>
            <w:tcW w:w="240" w:type="dxa"/>
            <w:vAlign w:val="bottom"/>
            <w:shd w:val="clear" w:color="auto" w:fill="CCEEFF"/>
          </w:tcPr>
          <w:p>
            <w:pPr>
              <w:spacing w:after="0"/>
              <w:rPr>
                <w:sz w:val="23"/>
                <w:szCs w:val="23"/>
                <w:color w:val="auto"/>
              </w:rPr>
            </w:pPr>
          </w:p>
        </w:tc>
        <w:tc>
          <w:tcPr>
            <w:tcW w:w="25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22"/>
                <w:szCs w:val="22"/>
                <w:color w:val="auto"/>
              </w:rPr>
              <w:t>15,824</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bl>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included with this Current Report on Form 8-K:</w:t>
      </w:r>
    </w:p>
    <w:p>
      <w:pPr>
        <w:sectPr>
          <w:pgSz w:w="11900" w:h="16838" w:orient="portrait"/>
          <w:cols w:equalWidth="0" w:num="1">
            <w:col w:w="11240"/>
          </w:cols>
          <w:pgMar w:left="320" w:top="1161"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NUMBER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2360" w:space="720"/>
            <w:col w:w="8160"/>
          </w:cols>
          <w:pgMar w:left="320" w:top="1161" w:right="339" w:bottom="1440" w:gutter="0" w:footer="0" w:header="0"/>
          <w:type w:val="continuous"/>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240"/>
          </w:cols>
          <w:pgMar w:left="320" w:top="1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HUDSON GLOBAL, INC.</w:t>
      </w:r>
    </w:p>
    <w:tbl>
      <w:tblPr>
        <w:tblLayout w:type="fixed"/>
        <w:tblInd w:w="4680" w:type="dxa"/>
        <w:tblCellMar>
          <w:top w:w="0" w:type="dxa"/>
          <w:left w:w="0" w:type="dxa"/>
          <w:bottom w:w="0" w:type="dxa"/>
          <w:right w:w="0" w:type="dxa"/>
        </w:tblCellMar>
      </w:tblPr>
      <w:tr>
        <w:trPr>
          <w:trHeight w:val="234"/>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c>
          <w:tcPr>
            <w:tcW w:w="5580" w:type="dxa"/>
            <w:vAlign w:val="bottom"/>
          </w:tcPr>
          <w:p>
            <w:pPr>
              <w:spacing w:after="0"/>
              <w:rPr>
                <w:sz w:val="20"/>
                <w:szCs w:val="20"/>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E. EBERWEIN</w:t>
            </w:r>
          </w:p>
        </w:tc>
      </w:tr>
      <w:tr>
        <w:trPr>
          <w:trHeight w:val="218"/>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Jeffrey E. Eberwein</w:t>
            </w:r>
          </w:p>
        </w:tc>
      </w:tr>
      <w:tr>
        <w:trPr>
          <w:trHeight w:val="234"/>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2024-08-02T16:09:07Z</dcterms:created>
  <dcterms:modified xsi:type="dcterms:W3CDTF">2024-08-02T16:09:07Z</dcterms:modified>
</cp:coreProperties>
</file>