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Eberwein Jeffrey 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STAR EQUITY HOLDINGS,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53 FOREST AVENUE, SUITE 101</w:t>
      </w:r>
    </w:p>
    <w:p>
      <w:pPr>
        <w:spacing w:after="0" w:line="29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120"/>
        <w:spacing w:after="0"/>
        <w:rPr>
          <w:sz w:val="20"/>
          <w:szCs w:val="20"/>
          <w:color w:val="auto"/>
        </w:rPr>
      </w:pPr>
      <w:r>
        <w:rPr>
          <w:rFonts w:ascii="Times New Roman" w:cs="Times New Roman" w:eastAsia="Times New Roman" w:hAnsi="Times New Roman"/>
          <w:sz w:val="34"/>
          <w:szCs w:val="34"/>
          <w:color w:val="0000FF"/>
          <w:vertAlign w:val="superscript"/>
        </w:rPr>
        <w:t>OLD</w:t>
      </w:r>
      <w:r>
        <w:rPr>
          <w:rFonts w:ascii="Times New Roman" w:cs="Times New Roman" w:eastAsia="Times New Roman" w:hAnsi="Times New Roman"/>
          <w:sz w:val="17"/>
          <w:szCs w:val="17"/>
          <w:color w:val="0000FF"/>
        </w:rPr>
        <w:t xml:space="preserve"> CT 06870 GREENWICH</w:t>
      </w:r>
    </w:p>
    <w:p>
      <w:pPr>
        <w:spacing w:after="0" w:line="35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Star Equity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STRR</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1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6"/>
        </w:trPr>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1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226"/>
        </w:trPr>
        <w:tc>
          <w:tcPr>
            <w:tcW w:w="23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06/15/2026</w:t>
            </w: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0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10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76" w:lineRule="exact"/>
        <w:rPr>
          <w:sz w:val="24"/>
          <w:szCs w:val="24"/>
          <w:color w:val="auto"/>
        </w:rPr>
      </w:pPr>
    </w:p>
    <w:p>
      <w:pPr>
        <w:sectPr>
          <w:pgSz w:w="11900" w:h="16838" w:orient="portrait"/>
          <w:cols w:equalWidth="0" w:num="2">
            <w:col w:w="3120" w:space="72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06/15/2026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jc w:val="right"/>
              <w:ind w:right="193"/>
              <w:spacing w:after="0"/>
              <w:rPr>
                <w:sz w:val="20"/>
                <w:szCs w:val="20"/>
                <w:color w:val="auto"/>
              </w:rPr>
            </w:pPr>
            <w:r>
              <w:rPr>
                <w:rFonts w:ascii="Times New Roman" w:cs="Times New Roman" w:eastAsia="Times New Roman" w:hAnsi="Times New Roman"/>
                <w:sz w:val="17"/>
                <w:szCs w:val="17"/>
                <w:color w:val="0000FF"/>
              </w:rPr>
              <w:t>6</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11.01</w:t>
            </w: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1,105,720</w:t>
            </w:r>
            <w:r>
              <w:rPr>
                <w:rFonts w:ascii="Times New Roman" w:cs="Times New Roman" w:eastAsia="Times New Roman" w:hAnsi="Times New Roman"/>
                <w:sz w:val="22"/>
                <w:szCs w:val="22"/>
                <w:color w:val="008000"/>
                <w:vertAlign w:val="superscript"/>
              </w:rPr>
              <w:t>(1)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06/16/2026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jc w:val="right"/>
              <w:ind w:right="33"/>
              <w:spacing w:after="0"/>
              <w:rPr>
                <w:sz w:val="20"/>
                <w:szCs w:val="20"/>
                <w:color w:val="auto"/>
              </w:rPr>
            </w:pPr>
            <w:r>
              <w:rPr>
                <w:rFonts w:ascii="Times New Roman" w:cs="Times New Roman" w:eastAsia="Times New Roman" w:hAnsi="Times New Roman"/>
                <w:sz w:val="17"/>
                <w:szCs w:val="17"/>
                <w:color w:val="0000FF"/>
              </w:rPr>
              <w:t>4,994</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11.21</w:t>
            </w: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1,110,714</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(i) 21,125 shares of restricted stock credited to the Reporting Person's account under the Issuer's 2009 Incentive Stock and Awards Plan, as amended and restated; (ii) 6,750 RSUs; and (iii) 1,077,845 shares of common stock. Excludes 2,000 shares indirectly owned in contributory 401(k) and IRA accounts. Each share of restricted stock and each RSU represents the right to receive, at settlement, one share of common stock.</w:t>
      </w:r>
    </w:p>
    <w:p>
      <w:pPr>
        <w:spacing w:after="0" w:line="20" w:lineRule="exact"/>
        <w:rPr>
          <w:rFonts w:ascii="Times New Roman" w:cs="Times New Roman" w:eastAsia="Times New Roman" w:hAnsi="Times New Roman"/>
          <w:sz w:val="13"/>
          <w:szCs w:val="13"/>
          <w:color w:val="008000"/>
        </w:rPr>
      </w:pPr>
    </w:p>
    <w:p>
      <w:pPr>
        <w:ind w:left="40" w:right="4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(i) 21,125 shares of restricted stock credited to the Reporting Person's account under the Issuer's 2009 Incentive Stock and Awards Plan, as amended and restated; (ii) 6,750 RSUs; and (iii) 1,082,839 shares of common stock. Excludes 2,000 shares indirectly owned in contributory 401(k) and IRA accounts. Each share of restricted stock and each RSU represents the right to receive, at settlement, one share of common stock.</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Jeffrey E. Eberwein</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06/17/2026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48312" TargetMode="External"/><Relationship Id="rId14" Type="http://schemas.openxmlformats.org/officeDocument/2006/relationships/hyperlink" Target="http://www.sec.gov/cgi-bin/browse-edgar?action=getcompany&amp;CIK=000121070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2026-06-17T15:32:52Z</dcterms:created>
  <dcterms:modified xsi:type="dcterms:W3CDTF">2026-06-17T15:32:52Z</dcterms:modified>
</cp:coreProperties>
</file>