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13G/A</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17)*</w:t>
      </w:r>
    </w:p>
    <w:p>
      <w:pPr>
        <w:spacing w:after="0" w:line="3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HUDSON GLOBAL,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443787205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66" w:lineRule="exact"/>
        <w:rPr>
          <w:sz w:val="24"/>
          <w:szCs w:val="24"/>
          <w:color w:val="auto"/>
        </w:rPr>
      </w:pPr>
    </w:p>
    <w:p>
      <w:pPr>
        <w:jc w:val="both"/>
        <w:ind w:left="660" w:right="9340" w:hanging="4"/>
        <w:spacing w:after="0" w:line="288" w:lineRule="auto"/>
        <w:tabs>
          <w:tab w:leader="none" w:pos="894"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 xml:space="preserve">Rule 13d-1(b) </w:t>
      </w:r>
      <w:r>
        <w:rPr>
          <w:rFonts w:ascii="Wingdings" w:cs="Wingdings" w:eastAsia="Wingdings" w:hAnsi="Wingdings"/>
          <w:sz w:val="19"/>
          <w:szCs w:val="19"/>
          <w:b w:val="1"/>
          <w:bCs w:val="1"/>
          <w:color w:val="auto"/>
        </w:rPr>
        <w:t xml:space="preserve">o </w:t>
      </w:r>
      <w:r>
        <w:rPr>
          <w:rFonts w:ascii="Times New Roman" w:cs="Times New Roman" w:eastAsia="Times New Roman" w:hAnsi="Times New Roman"/>
          <w:sz w:val="15"/>
          <w:szCs w:val="15"/>
          <w:color w:val="auto"/>
        </w:rPr>
        <w:t>Rule 13d-1(c)</w:t>
      </w:r>
      <w:r>
        <w:rPr>
          <w:rFonts w:ascii="Wingdings" w:cs="Wingdings" w:eastAsia="Wingdings" w:hAnsi="Wingdings"/>
          <w:sz w:val="19"/>
          <w:szCs w:val="19"/>
          <w:b w:val="1"/>
          <w:bCs w:val="1"/>
          <w:color w:val="auto"/>
        </w:rPr>
        <w:t xml:space="preserve"> o </w:t>
      </w:r>
      <w:r>
        <w:rPr>
          <w:rFonts w:ascii="Times New Roman" w:cs="Times New Roman" w:eastAsia="Times New Roman" w:hAnsi="Times New Roman"/>
          <w:sz w:val="15"/>
          <w:szCs w:val="15"/>
          <w:color w:val="auto"/>
        </w:rPr>
        <w:t>Rule 13d-1(d)</w:t>
      </w:r>
    </w:p>
    <w:p>
      <w:pPr>
        <w:spacing w:after="0" w:line="3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136130" cy="4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4508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443787205</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2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Hotchkis and Wiley Capital Management, LLC</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auto"/>
            </w:tcBorders>
            <w:shd w:val="clear" w:color="auto" w:fill="000000"/>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shd w:val="clear" w:color="auto" w:fill="000000"/>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Borders>
              <w:right w:val="single" w:sz="8" w:color="auto"/>
            </w:tcBorders>
          </w:tcPr>
          <w:p>
            <w:pPr>
              <w:spacing w:after="0"/>
              <w:rPr>
                <w:sz w:val="5"/>
                <w:szCs w:val="5"/>
                <w:color w:val="auto"/>
              </w:rPr>
            </w:pPr>
          </w:p>
        </w:tc>
        <w:tc>
          <w:tcPr>
            <w:tcW w:w="136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520" w:type="dxa"/>
            <w:vAlign w:val="bottom"/>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269,257</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334,637</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334,637</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11.89%</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IA</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0"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443787205</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3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Hotchkis and Wiley Small Cap Value Fund</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auto"/>
            </w:tcBorders>
            <w:shd w:val="clear" w:color="auto" w:fill="000000"/>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shd w:val="clear" w:color="auto" w:fill="000000"/>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Borders>
              <w:right w:val="single" w:sz="8" w:color="auto"/>
            </w:tcBorders>
          </w:tcPr>
          <w:p>
            <w:pPr>
              <w:spacing w:after="0"/>
              <w:rPr>
                <w:sz w:val="5"/>
                <w:szCs w:val="5"/>
                <w:color w:val="auto"/>
              </w:rPr>
            </w:pPr>
          </w:p>
        </w:tc>
        <w:tc>
          <w:tcPr>
            <w:tcW w:w="136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520" w:type="dxa"/>
            <w:vAlign w:val="bottom"/>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147,460</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147,460</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147,460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5.24%</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IV</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0" w:right="339" w:bottom="1440" w:gutter="0" w:footer="0" w:header="0"/>
        </w:sectPr>
      </w:pPr>
    </w:p>
    <w:bookmarkStart w:id="3" w:name="page4"/>
    <w:bookmarkEnd w:id="3"/>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443787205</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40"/>
              <w:spacing w:after="0"/>
              <w:rPr>
                <w:sz w:val="20"/>
                <w:szCs w:val="20"/>
                <w:color w:val="auto"/>
              </w:rPr>
            </w:pPr>
            <w:r>
              <w:rPr>
                <w:rFonts w:ascii="Times New Roman" w:cs="Times New Roman" w:eastAsia="Times New Roman" w:hAnsi="Times New Roman"/>
                <w:sz w:val="18"/>
                <w:szCs w:val="18"/>
                <w:b w:val="1"/>
                <w:bCs w:val="1"/>
                <w:color w:val="auto"/>
              </w:rPr>
              <w:t>Page 4 of 6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19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HUDSON GLOBAL, INC.</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53 Forest Avenue, Suite 102</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Old Greenwich, CT 06870</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(a) Name of Person Filing</w:t>
      </w:r>
    </w:p>
    <w:p>
      <w:pPr>
        <w:spacing w:after="0" w:line="121" w:lineRule="exact"/>
        <w:rPr>
          <w:sz w:val="20"/>
          <w:szCs w:val="20"/>
          <w:color w:val="auto"/>
        </w:rPr>
      </w:pPr>
    </w:p>
    <w:p>
      <w:pPr>
        <w:ind w:left="1040" w:hanging="240"/>
        <w:spacing w:after="0"/>
        <w:tabs>
          <w:tab w:leader="none" w:pos="10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Hotchkis and Wiley Capital Management, LLC</w:t>
      </w:r>
    </w:p>
    <w:p>
      <w:pPr>
        <w:spacing w:after="0" w:line="117"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Hotchkis and Wiley Small Cap Value Fund</w:t>
      </w:r>
    </w:p>
    <w:p>
      <w:pPr>
        <w:spacing w:after="0" w:line="113" w:lineRule="exact"/>
        <w:rPr>
          <w:rFonts w:ascii="Times New Roman" w:cs="Times New Roman" w:eastAsia="Times New Roman" w:hAnsi="Times New Roman"/>
          <w:sz w:val="18"/>
          <w:szCs w:val="18"/>
          <w:color w:val="auto"/>
        </w:rPr>
      </w:pPr>
    </w:p>
    <w:p>
      <w:pPr>
        <w:ind w:left="940" w:hanging="257"/>
        <w:spacing w:after="0"/>
        <w:tabs>
          <w:tab w:leader="none" w:pos="9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of Principal Business Office, or, if none, Residence</w:t>
      </w:r>
    </w:p>
    <w:p>
      <w:pPr>
        <w:spacing w:after="0" w:line="121" w:lineRule="exact"/>
        <w:rPr>
          <w:rFonts w:ascii="Times New Roman" w:cs="Times New Roman" w:eastAsia="Times New Roman" w:hAnsi="Times New Roman"/>
          <w:sz w:val="18"/>
          <w:szCs w:val="18"/>
          <w:b w:val="1"/>
          <w:bCs w:val="1"/>
          <w:color w:val="auto"/>
        </w:rPr>
      </w:pPr>
    </w:p>
    <w:p>
      <w:pPr>
        <w:ind w:left="1040" w:hanging="240"/>
        <w:spacing w:after="0"/>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601 S. Figueroa Street, 39th Fl, Los Angeles, CA 90017</w:t>
      </w:r>
    </w:p>
    <w:p>
      <w:pPr>
        <w:spacing w:after="0" w:line="117"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601 S. Figueroa Street, 39th Fl, Los Angeles, CA 90017</w:t>
      </w:r>
    </w:p>
    <w:p>
      <w:pPr>
        <w:spacing w:after="0" w:line="221" w:lineRule="exact"/>
        <w:rPr>
          <w:rFonts w:ascii="Times New Roman" w:cs="Times New Roman" w:eastAsia="Times New Roman" w:hAnsi="Times New Roman"/>
          <w:sz w:val="18"/>
          <w:szCs w:val="18"/>
          <w:color w:val="auto"/>
        </w:rPr>
      </w:pPr>
    </w:p>
    <w:p>
      <w:pPr>
        <w:ind w:left="920" w:hanging="237"/>
        <w:spacing w:after="0"/>
        <w:tabs>
          <w:tab w:leader="none" w:pos="9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Citizenship</w:t>
      </w:r>
    </w:p>
    <w:p>
      <w:pPr>
        <w:spacing w:after="0" w:line="121" w:lineRule="exact"/>
        <w:rPr>
          <w:rFonts w:ascii="Times New Roman" w:cs="Times New Roman" w:eastAsia="Times New Roman" w:hAnsi="Times New Roman"/>
          <w:sz w:val="18"/>
          <w:szCs w:val="18"/>
          <w:b w:val="1"/>
          <w:bCs w:val="1"/>
          <w:color w:val="auto"/>
        </w:rPr>
      </w:pPr>
    </w:p>
    <w:p>
      <w:pPr>
        <w:ind w:left="1040" w:hanging="240"/>
        <w:spacing w:after="0"/>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117"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113" w:lineRule="exact"/>
        <w:rPr>
          <w:rFonts w:ascii="Times New Roman" w:cs="Times New Roman" w:eastAsia="Times New Roman" w:hAnsi="Times New Roman"/>
          <w:sz w:val="18"/>
          <w:szCs w:val="18"/>
          <w:color w:val="auto"/>
        </w:rPr>
      </w:pPr>
    </w:p>
    <w:p>
      <w:pPr>
        <w:ind w:left="940" w:hanging="257"/>
        <w:spacing w:after="0"/>
        <w:tabs>
          <w:tab w:leader="none" w:pos="9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Title of Class of Securities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Common Stock, $0.001 par value</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443787205</w:t>
      </w:r>
    </w:p>
    <w:p>
      <w:pPr>
        <w:sectPr>
          <w:pgSz w:w="11900" w:h="16838" w:orient="portrait"/>
          <w:cols w:equalWidth="0" w:num="1">
            <w:col w:w="11240"/>
          </w:cols>
          <w:pgMar w:left="320" w:top="690" w:right="339" w:bottom="1440" w:gutter="0" w:footer="0" w:header="0"/>
        </w:sectPr>
      </w:pPr>
    </w:p>
    <w:bookmarkStart w:id="4" w:name="page5"/>
    <w:bookmarkEnd w:id="4"/>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443787205</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5 of 9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10" w:lineRule="exact"/>
        <w:rPr>
          <w:sz w:val="20"/>
          <w:szCs w:val="20"/>
          <w:color w:val="auto"/>
        </w:rPr>
      </w:pPr>
    </w:p>
    <w:p>
      <w:pPr>
        <w:ind w:left="600" w:hanging="295"/>
        <w:spacing w:after="0" w:line="207" w:lineRule="exact"/>
        <w:tabs>
          <w:tab w:leader="none" w:pos="60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65" w:lineRule="exact"/>
        <w:rPr>
          <w:rFonts w:ascii="Times New Roman" w:cs="Times New Roman" w:eastAsia="Times New Roman" w:hAnsi="Times New Roman"/>
          <w:sz w:val="18"/>
          <w:szCs w:val="18"/>
          <w:color w:val="auto"/>
        </w:rPr>
      </w:pPr>
    </w:p>
    <w:p>
      <w:pPr>
        <w:ind w:left="600" w:hanging="295"/>
        <w:spacing w:after="0"/>
        <w:tabs>
          <w:tab w:leader="none" w:pos="600" w:val="left"/>
        </w:tabs>
        <w:numPr>
          <w:ilvl w:val="0"/>
          <w:numId w:val="4"/>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7"/>
          <w:szCs w:val="17"/>
          <w:color w:val="auto"/>
        </w:rPr>
        <w:t>Bank as defined in section 3(a)(6) of the Act (15 U.S.C. 78c);</w:t>
      </w:r>
    </w:p>
    <w:p>
      <w:pPr>
        <w:spacing w:after="0" w:line="95"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65" w:lineRule="exact"/>
        <w:rPr>
          <w:rFonts w:ascii="Times New Roman" w:cs="Times New Roman" w:eastAsia="Times New Roman" w:hAnsi="Times New Roman"/>
          <w:sz w:val="18"/>
          <w:szCs w:val="18"/>
          <w:color w:val="auto"/>
        </w:rPr>
      </w:pPr>
    </w:p>
    <w:p>
      <w:pPr>
        <w:ind w:left="600" w:hanging="295"/>
        <w:spacing w:after="0"/>
        <w:tabs>
          <w:tab w:leader="none" w:pos="600" w:val="left"/>
        </w:tabs>
        <w:numPr>
          <w:ilvl w:val="0"/>
          <w:numId w:val="4"/>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7"/>
          <w:szCs w:val="17"/>
          <w:color w:val="auto"/>
        </w:rPr>
        <w:t>Investment company registered under section 8 of the Investment Company Act of 1940 (15 U.S.C. 80a-8);</w:t>
      </w:r>
    </w:p>
    <w:p>
      <w:pPr>
        <w:spacing w:after="0" w:line="130" w:lineRule="exact"/>
        <w:rPr>
          <w:rFonts w:ascii="Times New Roman" w:cs="Times New Roman" w:eastAsia="Times New Roman" w:hAnsi="Times New Roman"/>
          <w:sz w:val="18"/>
          <w:szCs w:val="18"/>
          <w:color w:val="auto"/>
        </w:rPr>
      </w:pPr>
    </w:p>
    <w:p>
      <w:pPr>
        <w:ind w:left="600" w:hanging="295"/>
        <w:spacing w:after="0"/>
        <w:tabs>
          <w:tab w:leader="none" w:pos="600" w:val="left"/>
        </w:tabs>
        <w:numPr>
          <w:ilvl w:val="0"/>
          <w:numId w:val="4"/>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7"/>
          <w:szCs w:val="17"/>
          <w:color w:val="auto"/>
        </w:rPr>
        <w:t>An investment adviser in accordance with §240.13d-1(b)(1)(ii)(E);</w:t>
      </w:r>
    </w:p>
    <w:p>
      <w:pPr>
        <w:spacing w:after="0" w:line="95"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30" w:lineRule="exact"/>
        <w:rPr>
          <w:rFonts w:ascii="Times New Roman" w:cs="Times New Roman" w:eastAsia="Times New Roman" w:hAnsi="Times New Roman"/>
          <w:sz w:val="18"/>
          <w:szCs w:val="18"/>
          <w:color w:val="auto"/>
        </w:rPr>
      </w:pPr>
    </w:p>
    <w:p>
      <w:pPr>
        <w:ind w:left="900" w:right="200" w:hanging="595"/>
        <w:spacing w:after="0" w:line="243" w:lineRule="exact"/>
        <w:tabs>
          <w:tab w:leader="none" w:pos="603"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68"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30" w:lineRule="exact"/>
        <w:rPr>
          <w:rFonts w:ascii="Times New Roman" w:cs="Times New Roman" w:eastAsia="Times New Roman" w:hAnsi="Times New Roman"/>
          <w:sz w:val="18"/>
          <w:szCs w:val="18"/>
          <w:color w:val="auto"/>
        </w:rPr>
      </w:pPr>
    </w:p>
    <w:p>
      <w:pPr>
        <w:ind w:left="900" w:right="460" w:hanging="595"/>
        <w:spacing w:after="0" w:line="243" w:lineRule="exact"/>
        <w:tabs>
          <w:tab w:leader="none" w:pos="603"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-24765</wp:posOffset>
            </wp:positionV>
            <wp:extent cx="8001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443787205</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6 of 9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040" w:hanging="240"/>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117" w:lineRule="exact"/>
        <w:rPr>
          <w:rFonts w:ascii="Times New Roman" w:cs="Times New Roman" w:eastAsia="Times New Roman" w:hAnsi="Times New Roman"/>
          <w:sz w:val="18"/>
          <w:szCs w:val="18"/>
          <w:color w:val="auto"/>
        </w:rPr>
      </w:pPr>
    </w:p>
    <w:p>
      <w:pPr>
        <w:ind w:left="1400" w:hanging="240"/>
        <w:spacing w:after="0"/>
        <w:tabs>
          <w:tab w:leader="none" w:pos="14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334,637 (Ownership disclaimed pursuant to Section 13d-4 of the 1934 Act) (includes ownership reported in 4(a)(b) below)</w:t>
      </w:r>
    </w:p>
    <w:p>
      <w:pPr>
        <w:spacing w:after="0" w:line="117" w:lineRule="exact"/>
        <w:rPr>
          <w:rFonts w:ascii="Times New Roman" w:cs="Times New Roman" w:eastAsia="Times New Roman" w:hAnsi="Times New Roman"/>
          <w:sz w:val="18"/>
          <w:szCs w:val="18"/>
          <w:color w:val="auto"/>
        </w:rPr>
      </w:pPr>
    </w:p>
    <w:p>
      <w:pPr>
        <w:ind w:left="1420" w:hanging="260"/>
        <w:spacing w:after="0"/>
        <w:tabs>
          <w:tab w:leader="none" w:pos="14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147,460</w:t>
      </w:r>
    </w:p>
    <w:p>
      <w:pPr>
        <w:spacing w:after="0" w:line="117"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117" w:lineRule="exact"/>
        <w:rPr>
          <w:rFonts w:ascii="Times New Roman" w:cs="Times New Roman" w:eastAsia="Times New Roman" w:hAnsi="Times New Roman"/>
          <w:sz w:val="18"/>
          <w:szCs w:val="18"/>
          <w:color w:val="auto"/>
        </w:rPr>
      </w:pPr>
    </w:p>
    <w:p>
      <w:pPr>
        <w:ind w:left="1400" w:hanging="240"/>
        <w:spacing w:after="0"/>
        <w:tabs>
          <w:tab w:leader="none" w:pos="14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11.89% (includes ownership reported in 4(b)(b) below)</w:t>
      </w:r>
    </w:p>
    <w:p>
      <w:pPr>
        <w:spacing w:after="0" w:line="117" w:lineRule="exact"/>
        <w:rPr>
          <w:rFonts w:ascii="Times New Roman" w:cs="Times New Roman" w:eastAsia="Times New Roman" w:hAnsi="Times New Roman"/>
          <w:sz w:val="18"/>
          <w:szCs w:val="18"/>
          <w:color w:val="auto"/>
        </w:rPr>
      </w:pPr>
    </w:p>
    <w:p>
      <w:pPr>
        <w:ind w:left="1420" w:hanging="260"/>
        <w:spacing w:after="0"/>
        <w:tabs>
          <w:tab w:leader="none" w:pos="14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5.24%</w:t>
      </w:r>
    </w:p>
    <w:p>
      <w:pPr>
        <w:spacing w:after="0" w:line="117" w:lineRule="exact"/>
        <w:rPr>
          <w:rFonts w:ascii="Times New Roman" w:cs="Times New Roman" w:eastAsia="Times New Roman" w:hAnsi="Times New Roman"/>
          <w:sz w:val="18"/>
          <w:szCs w:val="18"/>
          <w:color w:val="auto"/>
        </w:rPr>
      </w:pPr>
    </w:p>
    <w:p>
      <w:pPr>
        <w:ind w:left="1040" w:hanging="240"/>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117" w:lineRule="exact"/>
        <w:rPr>
          <w:rFonts w:ascii="Times New Roman" w:cs="Times New Roman" w:eastAsia="Times New Roman" w:hAnsi="Times New Roman"/>
          <w:sz w:val="18"/>
          <w:szCs w:val="18"/>
          <w:color w:val="auto"/>
        </w:rPr>
      </w:pPr>
    </w:p>
    <w:p>
      <w:pPr>
        <w:ind w:left="1380" w:hanging="220"/>
        <w:spacing w:after="0"/>
        <w:tabs>
          <w:tab w:leader="none" w:pos="13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117" w:lineRule="exact"/>
        <w:rPr>
          <w:rFonts w:ascii="Times New Roman" w:cs="Times New Roman" w:eastAsia="Times New Roman" w:hAnsi="Times New Roman"/>
          <w:sz w:val="18"/>
          <w:szCs w:val="18"/>
          <w:color w:val="auto"/>
        </w:rPr>
      </w:pPr>
    </w:p>
    <w:p>
      <w:pPr>
        <w:ind w:left="1760" w:hanging="240"/>
        <w:spacing w:after="0"/>
        <w:tabs>
          <w:tab w:leader="none" w:pos="176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269,257 (includes ownership reported in 4(c)(i)(b) below)</w:t>
      </w:r>
    </w:p>
    <w:p>
      <w:pPr>
        <w:spacing w:after="0" w:line="117" w:lineRule="exact"/>
        <w:rPr>
          <w:rFonts w:ascii="Times New Roman" w:cs="Times New Roman" w:eastAsia="Times New Roman" w:hAnsi="Times New Roman"/>
          <w:sz w:val="18"/>
          <w:szCs w:val="18"/>
          <w:color w:val="auto"/>
        </w:rPr>
      </w:pPr>
    </w:p>
    <w:p>
      <w:pPr>
        <w:ind w:left="1780" w:hanging="260"/>
        <w:spacing w:after="0"/>
        <w:tabs>
          <w:tab w:leader="none" w:pos="178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147,460</w:t>
      </w:r>
    </w:p>
    <w:p>
      <w:pPr>
        <w:spacing w:after="0" w:line="117" w:lineRule="exact"/>
        <w:rPr>
          <w:sz w:val="20"/>
          <w:szCs w:val="20"/>
          <w:color w:val="auto"/>
        </w:rPr>
      </w:pPr>
    </w:p>
    <w:p>
      <w:pPr>
        <w:ind w:left="1420" w:hanging="260"/>
        <w:spacing w:after="0"/>
        <w:tabs>
          <w:tab w:leader="none" w:pos="1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w:t>
      </w:r>
    </w:p>
    <w:p>
      <w:pPr>
        <w:spacing w:after="0" w:line="117" w:lineRule="exact"/>
        <w:rPr>
          <w:rFonts w:ascii="Times New Roman" w:cs="Times New Roman" w:eastAsia="Times New Roman" w:hAnsi="Times New Roman"/>
          <w:sz w:val="18"/>
          <w:szCs w:val="18"/>
          <w:color w:val="auto"/>
        </w:rPr>
      </w:pPr>
    </w:p>
    <w:p>
      <w:pPr>
        <w:ind w:left="1480" w:hanging="320"/>
        <w:spacing w:after="0"/>
        <w:tabs>
          <w:tab w:leader="none" w:pos="1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w:t>
      </w:r>
    </w:p>
    <w:p>
      <w:pPr>
        <w:spacing w:after="0" w:line="117" w:lineRule="exact"/>
        <w:rPr>
          <w:rFonts w:ascii="Times New Roman" w:cs="Times New Roman" w:eastAsia="Times New Roman" w:hAnsi="Times New Roman"/>
          <w:sz w:val="18"/>
          <w:szCs w:val="18"/>
          <w:color w:val="auto"/>
        </w:rPr>
      </w:pPr>
    </w:p>
    <w:p>
      <w:pPr>
        <w:ind w:left="1760" w:hanging="240"/>
        <w:spacing w:after="0"/>
        <w:tabs>
          <w:tab w:leader="none" w:pos="17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334,637 (includes ownership reported in 4(c)(iii)(b) below)</w:t>
      </w:r>
    </w:p>
    <w:p>
      <w:pPr>
        <w:spacing w:after="0" w:line="117" w:lineRule="exact"/>
        <w:rPr>
          <w:rFonts w:ascii="Times New Roman" w:cs="Times New Roman" w:eastAsia="Times New Roman" w:hAnsi="Times New Roman"/>
          <w:sz w:val="18"/>
          <w:szCs w:val="18"/>
          <w:color w:val="auto"/>
        </w:rPr>
      </w:pPr>
    </w:p>
    <w:p>
      <w:pPr>
        <w:ind w:left="1780" w:hanging="260"/>
        <w:spacing w:after="0"/>
        <w:tabs>
          <w:tab w:leader="none" w:pos="17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147,460</w:t>
      </w:r>
    </w:p>
    <w:p>
      <w:pPr>
        <w:spacing w:after="0" w:line="117" w:lineRule="exact"/>
        <w:rPr>
          <w:rFonts w:ascii="Times New Roman" w:cs="Times New Roman" w:eastAsia="Times New Roman" w:hAnsi="Times New Roman"/>
          <w:sz w:val="18"/>
          <w:szCs w:val="18"/>
          <w:color w:val="auto"/>
        </w:rPr>
      </w:pPr>
    </w:p>
    <w:p>
      <w:pPr>
        <w:ind w:left="1460" w:hanging="300"/>
        <w:spacing w:after="0"/>
        <w:tabs>
          <w:tab w:leader="none" w:pos="1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w:t>
      </w:r>
    </w:p>
    <w:p>
      <w:pPr>
        <w:spacing w:after="0" w:line="117" w:lineRule="exact"/>
        <w:rPr>
          <w:sz w:val="20"/>
          <w:szCs w:val="20"/>
          <w:color w:val="auto"/>
        </w:rPr>
      </w:pPr>
    </w:p>
    <w:p>
      <w:pPr>
        <w:jc w:val="both"/>
        <w:ind w:left="800"/>
        <w:spacing w:after="0" w:line="282" w:lineRule="auto"/>
        <w:rPr>
          <w:sz w:val="20"/>
          <w:szCs w:val="20"/>
          <w:color w:val="auto"/>
        </w:rPr>
      </w:pPr>
      <w:r>
        <w:rPr>
          <w:rFonts w:ascii="Times New Roman" w:cs="Times New Roman" w:eastAsia="Times New Roman" w:hAnsi="Times New Roman"/>
          <w:sz w:val="18"/>
          <w:szCs w:val="18"/>
          <w:color w:val="auto"/>
        </w:rPr>
        <w:t>Note that certain of HWCM's clients have retained voting power over the Common Shares that they beneficially own. Accordingly, HWCM has the power to dispose of more Common Shares than it can vote.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See Exhibit A.</w:t>
      </w:r>
    </w:p>
    <w:p>
      <w:pPr>
        <w:spacing w:after="0" w:line="113" w:lineRule="exact"/>
        <w:rPr>
          <w:sz w:val="20"/>
          <w:szCs w:val="20"/>
          <w:color w:val="auto"/>
        </w:rPr>
      </w:pPr>
    </w:p>
    <w:p>
      <w:pPr>
        <w:ind w:left="1300" w:hanging="1295"/>
        <w:spacing w:after="0" w:line="286"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5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229" w:lineRule="exact"/>
        <w:rPr>
          <w:sz w:val="20"/>
          <w:szCs w:val="20"/>
          <w:color w:val="auto"/>
        </w:rPr>
      </w:pPr>
    </w:p>
    <w:p>
      <w:pPr>
        <w:jc w:val="both"/>
        <w:ind w:left="800"/>
        <w:spacing w:after="0" w:line="28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906" w:right="3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443787205</w:t>
            </w:r>
          </w:p>
        </w:tc>
        <w:tc>
          <w:tcPr>
            <w:tcW w:w="452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7 of 9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13, 2024</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Hotchkis and Wiley Capital Management, LLC</w:t>
      </w:r>
    </w:p>
    <w:p>
      <w:pPr>
        <w:spacing w:after="0" w:line="225" w:lineRule="exact"/>
        <w:rPr>
          <w:sz w:val="20"/>
          <w:szCs w:val="20"/>
          <w:color w:val="auto"/>
        </w:rPr>
      </w:pPr>
    </w:p>
    <w:p>
      <w:pPr>
        <w:ind w:left="5540"/>
        <w:spacing w:after="0"/>
        <w:tabs>
          <w:tab w:leader="none" w:pos="5960" w:val="left"/>
        </w:tabs>
        <w:rPr>
          <w:sz w:val="20"/>
          <w:szCs w:val="20"/>
          <w:color w:val="auto"/>
        </w:rPr>
      </w:pPr>
      <w:r>
        <w:rPr>
          <w:rFonts w:ascii="Times New Roman" w:cs="Times New Roman" w:eastAsia="Times New Roman" w:hAnsi="Times New Roman"/>
          <w:sz w:val="18"/>
          <w:szCs w:val="18"/>
          <w:color w:val="auto"/>
        </w:rPr>
        <w:t>By:</w:t>
        <w:tab/>
        <w:t>Tina H. Kodama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33343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Tina H. Kodama</w:t>
      </w:r>
    </w:p>
    <w:p>
      <w:pPr>
        <w:spacing w:after="0" w:line="23" w:lineRule="exact"/>
        <w:rPr>
          <w:sz w:val="20"/>
          <w:szCs w:val="20"/>
          <w:color w:val="auto"/>
        </w:rPr>
      </w:pPr>
    </w:p>
    <w:p>
      <w:pPr>
        <w:ind w:left="5980"/>
        <w:spacing w:after="0"/>
        <w:tabs>
          <w:tab w:leader="none" w:pos="64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Compliance Officer</w:t>
      </w:r>
    </w:p>
    <w:p>
      <w:pPr>
        <w:sectPr>
          <w:pgSz w:w="11900" w:h="16838" w:orient="portrait"/>
          <w:cols w:equalWidth="0" w:num="1">
            <w:col w:w="11240"/>
          </w:cols>
          <w:pgMar w:left="320" w:top="474" w:right="339" w:bottom="1440" w:gutter="0" w:footer="0" w:header="0"/>
        </w:sectPr>
      </w:pPr>
    </w:p>
    <w:bookmarkStart w:id="7" w:name="page8"/>
    <w:bookmarkEnd w:id="7"/>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443787205</w:t>
            </w:r>
          </w:p>
        </w:tc>
        <w:tc>
          <w:tcPr>
            <w:tcW w:w="452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8 of 9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securities as to which this Schedule is filed by HWCM, in its capacity as investment adviser, are owners of record by clients of HWCM. Those clients 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Hotchkis and Wiley Small Cap Value Fund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of Trustees of the Hotchkis and Wiley Small Cap Value Fund can direct the disposition of dividends received by such fund and can dispose of such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HWCM disclaims ownership of securities for all clients.</w:t>
      </w:r>
    </w:p>
    <w:p>
      <w:pPr>
        <w:sectPr>
          <w:pgSz w:w="11900" w:h="16838" w:orient="portrait"/>
          <w:cols w:equalWidth="0" w:num="1">
            <w:col w:w="11240"/>
          </w:cols>
          <w:pgMar w:left="320" w:top="474" w:right="339" w:bottom="1440" w:gutter="0" w:footer="0" w:header="0"/>
        </w:sectPr>
      </w:pPr>
    </w:p>
    <w:bookmarkStart w:id="8" w:name="page9"/>
    <w:bookmarkEnd w:id="8"/>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443787205</w:t>
            </w:r>
          </w:p>
        </w:tc>
        <w:tc>
          <w:tcPr>
            <w:tcW w:w="452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9 of 9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rPr>
          <w:sz w:val="20"/>
          <w:szCs w:val="20"/>
          <w:color w:val="auto"/>
        </w:rPr>
      </w:pPr>
      <w:r>
        <w:rPr>
          <w:rFonts w:ascii="Times New Roman" w:cs="Times New Roman" w:eastAsia="Times New Roman" w:hAnsi="Times New Roman"/>
          <w:sz w:val="18"/>
          <w:szCs w:val="18"/>
          <w:u w:val="single" w:color="auto"/>
          <w:color w:val="auto"/>
        </w:rPr>
        <w:t>Exhibit B</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undersigned investment company hereby acknowledges and agrees that a report on Schedule 13G filed by Hotchkis and Wiley Capital Management, LLC on or about the date hereof, relating to the Common Stock of Hudson Global, Inc. is filed on behalf of the undersigned.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13, 2024</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Hotchkis and Wiley Small Cap Value Fund</w:t>
      </w:r>
    </w:p>
    <w:p>
      <w:pPr>
        <w:spacing w:after="0" w:line="225" w:lineRule="exact"/>
        <w:rPr>
          <w:sz w:val="20"/>
          <w:szCs w:val="20"/>
          <w:color w:val="auto"/>
        </w:rPr>
      </w:pPr>
    </w:p>
    <w:p>
      <w:pPr>
        <w:ind w:left="5540"/>
        <w:spacing w:after="0"/>
        <w:tabs>
          <w:tab w:leader="none" w:pos="5960" w:val="left"/>
        </w:tabs>
        <w:rPr>
          <w:sz w:val="20"/>
          <w:szCs w:val="20"/>
          <w:color w:val="auto"/>
        </w:rPr>
      </w:pPr>
      <w:r>
        <w:rPr>
          <w:rFonts w:ascii="Times New Roman" w:cs="Times New Roman" w:eastAsia="Times New Roman" w:hAnsi="Times New Roman"/>
          <w:sz w:val="18"/>
          <w:szCs w:val="18"/>
          <w:color w:val="auto"/>
        </w:rPr>
        <w:t>By:</w:t>
        <w:tab/>
        <w:t>Tina H. Kodama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33343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Name:Tina H. Kodama</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Chief Compliance Officer</w:t>
      </w:r>
    </w:p>
    <w:p>
      <w:pPr>
        <w:spacing w:after="0" w:line="9"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Hotchkis &amp; Wiley Capital Management, LLC</w:t>
      </w:r>
    </w:p>
    <w:p>
      <w:pPr>
        <w:spacing w:after="0" w:line="9"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7"/>
          <w:szCs w:val="17"/>
          <w:color w:val="auto"/>
        </w:rPr>
        <w:t>Investment Advisor to the Hotchkis &amp; Wiley Small Cap Value Fund</w:t>
      </w:r>
    </w:p>
    <w:sectPr>
      <w:pgSz w:w="11900" w:h="16838" w:orient="portrait"/>
      <w:cols w:equalWidth="0" w:num="1">
        <w:col w:w="11240"/>
      </w:cols>
      <w:pgMar w:left="320" w:top="4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1"/>
    </w:lvl>
    <w:lvl w:ilvl="1">
      <w:lvlJc w:val="left"/>
      <w:lvlText w:val="(%2)"/>
      <w:numFmt w:val="lowerLetter"/>
      <w:start w:val="1"/>
    </w:lvl>
  </w:abstractNum>
  <w:abstractNum w:abstractNumId="2">
    <w:nsid w:val="46E87CCD"/>
    <w:multiLevelType w:val="hybridMultilevel"/>
    <w:lvl w:ilvl="0">
      <w:lvlJc w:val="left"/>
      <w:lvlText w:val="(%1)"/>
      <w:numFmt w:val="lowerLetter"/>
      <w:start w:val="2"/>
    </w:lvl>
    <w:lvl w:ilvl="1">
      <w:lvlJc w:val="left"/>
      <w:lvlText w:val="(%2)"/>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5">
    <w:nsid w:val="2EB141F2"/>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1"/>
    </w:lvl>
  </w:abstractNum>
  <w:abstractNum w:abstractNumId="6">
    <w:nsid w:val="41B71EFB"/>
    <w:multiLevelType w:val="hybridMultilevel"/>
    <w:lvl w:ilvl="0">
      <w:lvlJc w:val="left"/>
      <w:lvlText w:val="(%1)"/>
      <w:numFmt w:val="lowerRoman"/>
      <w:start w:val="2"/>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2024-02-13T15:12:13Z</dcterms:created>
  <dcterms:modified xsi:type="dcterms:W3CDTF">2024-02-13T15:12:13Z</dcterms:modified>
</cp:coreProperties>
</file>