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749300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Star Equity Holdings,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3180" w:type="dxa"/>
            <w:vAlign w:val="bottom"/>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001-38704</w:t>
            </w:r>
          </w:p>
        </w:tc>
        <w:tc>
          <w:tcPr>
            <w:tcW w:w="3000" w:type="dxa"/>
            <w:vAlign w:val="bottom"/>
          </w:tcPr>
          <w:p>
            <w:pPr>
              <w:jc w:val="center"/>
              <w:ind w:right="529"/>
              <w:spacing w:after="0"/>
              <w:rPr>
                <w:sz w:val="20"/>
                <w:szCs w:val="20"/>
                <w:color w:val="auto"/>
              </w:rPr>
            </w:pPr>
            <w:r>
              <w:rPr>
                <w:rFonts w:ascii="Times New Roman" w:cs="Times New Roman" w:eastAsia="Times New Roman" w:hAnsi="Times New Roman"/>
                <w:sz w:val="14"/>
                <w:szCs w:val="14"/>
                <w:b w:val="1"/>
                <w:bCs w:val="1"/>
                <w:color w:val="auto"/>
              </w:rPr>
              <w:t>59-3547281</w:t>
            </w:r>
          </w:p>
        </w:tc>
      </w:tr>
      <w:tr>
        <w:trPr>
          <w:trHeight w:val="144"/>
        </w:trPr>
        <w:tc>
          <w:tcPr>
            <w:tcW w:w="3180" w:type="dxa"/>
            <w:vAlign w:val="bottom"/>
          </w:tcPr>
          <w:p>
            <w:pPr>
              <w:jc w:val="center"/>
              <w:ind w:left="569"/>
              <w:spacing w:after="0" w:line="144"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(Commission</w:t>
            </w:r>
          </w:p>
        </w:tc>
        <w:tc>
          <w:tcPr>
            <w:tcW w:w="3000" w:type="dxa"/>
            <w:vAlign w:val="bottom"/>
          </w:tcPr>
          <w:p>
            <w:pPr>
              <w:jc w:val="center"/>
              <w:ind w:right="529"/>
              <w:spacing w:after="0" w:line="144"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3180" w:type="dxa"/>
            <w:vAlign w:val="bottom"/>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00" w:type="dxa"/>
            <w:vAlign w:val="bottom"/>
          </w:tcPr>
          <w:p>
            <w:pPr>
              <w:jc w:val="center"/>
              <w:ind w:right="52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3"/>
        </w:trPr>
        <w:tc>
          <w:tcPr>
            <w:tcW w:w="3180" w:type="dxa"/>
            <w:vAlign w:val="bottom"/>
          </w:tcPr>
          <w:p>
            <w:pPr>
              <w:spacing w:after="0"/>
              <w:rPr>
                <w:sz w:val="24"/>
                <w:szCs w:val="24"/>
                <w:color w:val="auto"/>
              </w:rPr>
            </w:pPr>
          </w:p>
        </w:tc>
        <w:tc>
          <w:tcPr>
            <w:tcW w:w="51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53 Forest Avenue, Suite 101</w:t>
            </w:r>
          </w:p>
        </w:tc>
        <w:tc>
          <w:tcPr>
            <w:tcW w:w="3000" w:type="dxa"/>
            <w:vAlign w:val="bottom"/>
          </w:tcPr>
          <w:p>
            <w:pPr>
              <w:spacing w:after="0"/>
              <w:rPr>
                <w:sz w:val="24"/>
                <w:szCs w:val="24"/>
                <w:color w:val="auto"/>
              </w:rPr>
            </w:pPr>
          </w:p>
        </w:tc>
      </w:tr>
      <w:tr>
        <w:trPr>
          <w:trHeight w:val="170"/>
        </w:trPr>
        <w:tc>
          <w:tcPr>
            <w:tcW w:w="3180" w:type="dxa"/>
            <w:vAlign w:val="bottom"/>
          </w:tcPr>
          <w:p>
            <w:pPr>
              <w:spacing w:after="0"/>
              <w:rPr>
                <w:sz w:val="14"/>
                <w:szCs w:val="14"/>
                <w:color w:val="auto"/>
              </w:rPr>
            </w:pPr>
          </w:p>
        </w:tc>
        <w:tc>
          <w:tcPr>
            <w:tcW w:w="51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Old Greenwich, CT 06870</w:t>
            </w:r>
          </w:p>
        </w:tc>
        <w:tc>
          <w:tcPr>
            <w:tcW w:w="3000" w:type="dxa"/>
            <w:vAlign w:val="bottom"/>
          </w:tcPr>
          <w:p>
            <w:pPr>
              <w:spacing w:after="0"/>
              <w:rPr>
                <w:sz w:val="14"/>
                <w:szCs w:val="14"/>
                <w:color w:val="auto"/>
              </w:rPr>
            </w:pPr>
          </w:p>
        </w:tc>
      </w:tr>
      <w:tr>
        <w:trPr>
          <w:trHeight w:val="186"/>
        </w:trPr>
        <w:tc>
          <w:tcPr>
            <w:tcW w:w="3180" w:type="dxa"/>
            <w:vAlign w:val="bottom"/>
          </w:tcPr>
          <w:p>
            <w:pPr>
              <w:spacing w:after="0"/>
              <w:rPr>
                <w:sz w:val="16"/>
                <w:szCs w:val="16"/>
                <w:color w:val="auto"/>
              </w:rPr>
            </w:pPr>
          </w:p>
        </w:tc>
        <w:tc>
          <w:tcPr>
            <w:tcW w:w="51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spacing w:after="0"/>
              <w:rPr>
                <w:sz w:val="16"/>
                <w:szCs w:val="16"/>
                <w:color w:val="auto"/>
              </w:rPr>
            </w:pPr>
          </w:p>
        </w:tc>
      </w:tr>
      <w:tr>
        <w:trPr>
          <w:trHeight w:val="286"/>
        </w:trPr>
        <w:tc>
          <w:tcPr>
            <w:tcW w:w="3180" w:type="dxa"/>
            <w:vAlign w:val="bottom"/>
          </w:tcPr>
          <w:p>
            <w:pPr>
              <w:spacing w:after="0"/>
              <w:rPr>
                <w:sz w:val="24"/>
                <w:szCs w:val="24"/>
                <w:color w:val="auto"/>
              </w:rPr>
            </w:pPr>
          </w:p>
        </w:tc>
        <w:tc>
          <w:tcPr>
            <w:tcW w:w="51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(203) 489-9500</w:t>
            </w:r>
          </w:p>
        </w:tc>
        <w:tc>
          <w:tcPr>
            <w:tcW w:w="3000" w:type="dxa"/>
            <w:vAlign w:val="bottom"/>
          </w:tcPr>
          <w:p>
            <w:pPr>
              <w:spacing w:after="0"/>
              <w:rPr>
                <w:sz w:val="24"/>
                <w:szCs w:val="24"/>
                <w:color w:val="auto"/>
              </w:rPr>
            </w:pPr>
          </w:p>
        </w:tc>
      </w:tr>
      <w:tr>
        <w:trPr>
          <w:trHeight w:val="291"/>
        </w:trPr>
        <w:tc>
          <w:tcPr>
            <w:tcW w:w="3180" w:type="dxa"/>
            <w:vAlign w:val="bottom"/>
          </w:tcPr>
          <w:p>
            <w:pPr>
              <w:spacing w:after="0"/>
              <w:rPr>
                <w:sz w:val="24"/>
                <w:szCs w:val="24"/>
                <w:color w:val="auto"/>
              </w:rPr>
            </w:pPr>
          </w:p>
        </w:tc>
        <w:tc>
          <w:tcPr>
            <w:tcW w:w="510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3000" w:type="dxa"/>
            <w:vAlign w:val="bottom"/>
          </w:tcPr>
          <w:p>
            <w:pPr>
              <w:spacing w:after="0"/>
              <w:rPr>
                <w:sz w:val="24"/>
                <w:szCs w:val="24"/>
                <w:color w:val="auto"/>
              </w:rPr>
            </w:pPr>
          </w:p>
        </w:tc>
      </w:tr>
      <w:tr>
        <w:trPr>
          <w:trHeight w:val="186"/>
        </w:trPr>
        <w:tc>
          <w:tcPr>
            <w:tcW w:w="3180" w:type="dxa"/>
            <w:vAlign w:val="bottom"/>
          </w:tcPr>
          <w:p>
            <w:pPr>
              <w:spacing w:after="0"/>
              <w:rPr>
                <w:sz w:val="16"/>
                <w:szCs w:val="16"/>
                <w:color w:val="auto"/>
              </w:rPr>
            </w:pPr>
          </w:p>
        </w:tc>
        <w:tc>
          <w:tcPr>
            <w:tcW w:w="51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000" w:type="dxa"/>
            <w:vAlign w:val="bottom"/>
          </w:tcPr>
          <w:p>
            <w:pPr>
              <w:spacing w:after="0"/>
              <w:rPr>
                <w:sz w:val="16"/>
                <w:szCs w:val="16"/>
                <w:color w:val="auto"/>
              </w:rPr>
            </w:pPr>
          </w:p>
        </w:tc>
      </w:tr>
      <w:tr>
        <w:trPr>
          <w:trHeight w:val="224"/>
        </w:trPr>
        <w:tc>
          <w:tcPr>
            <w:tcW w:w="318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bl>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480" w:hanging="447"/>
        <w:spacing w:after="0"/>
        <w:tabs>
          <w:tab w:leader="none" w:pos="4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4" w:lineRule="exact"/>
        <w:rPr>
          <w:sz w:val="24"/>
          <w:szCs w:val="24"/>
          <w:color w:val="auto"/>
        </w:rPr>
      </w:pPr>
    </w:p>
    <w:p>
      <w:pPr>
        <w:ind w:left="500" w:hanging="446"/>
        <w:spacing w:after="0"/>
        <w:tabs>
          <w:tab w:leader="none" w:pos="50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5" w:lineRule="exact"/>
        <w:rPr>
          <w:rFonts w:ascii="Wingdings" w:cs="Wingdings" w:eastAsia="Wingdings" w:hAnsi="Wingdings"/>
          <w:sz w:val="14"/>
          <w:szCs w:val="14"/>
          <w:b w:val="1"/>
          <w:bCs w:val="1"/>
          <w:color w:val="auto"/>
        </w:rPr>
      </w:pPr>
    </w:p>
    <w:p>
      <w:pPr>
        <w:ind w:left="500" w:hanging="446"/>
        <w:spacing w:after="0"/>
        <w:tabs>
          <w:tab w:leader="none" w:pos="50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Wingdings" w:cs="Wingdings" w:eastAsia="Wingdings" w:hAnsi="Wingdings"/>
          <w:sz w:val="14"/>
          <w:szCs w:val="14"/>
          <w:b w:val="1"/>
          <w:bCs w:val="1"/>
          <w:color w:val="auto"/>
        </w:rPr>
      </w:pPr>
    </w:p>
    <w:p>
      <w:pPr>
        <w:ind w:right="4500" w:firstLine="54"/>
        <w:spacing w:after="0" w:line="387" w:lineRule="auto"/>
        <w:tabs>
          <w:tab w:leader="none" w:pos="495"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20" w:type="dxa"/>
        <w:tblCellMar>
          <w:top w:w="0" w:type="dxa"/>
          <w:left w:w="0" w:type="dxa"/>
          <w:bottom w:w="0" w:type="dxa"/>
          <w:right w:w="0" w:type="dxa"/>
        </w:tblCellMar>
      </w:tblPr>
      <w:tr>
        <w:trPr>
          <w:trHeight w:val="153"/>
        </w:trPr>
        <w:tc>
          <w:tcPr>
            <w:tcW w:w="70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Title of each class</w:t>
            </w:r>
          </w:p>
        </w:tc>
        <w:tc>
          <w:tcPr>
            <w:tcW w:w="1340" w:type="dxa"/>
            <w:vAlign w:val="bottom"/>
          </w:tcPr>
          <w:p>
            <w:pPr>
              <w:spacing w:after="0"/>
              <w:rPr>
                <w:sz w:val="13"/>
                <w:szCs w:val="13"/>
                <w:color w:val="auto"/>
              </w:rPr>
            </w:pPr>
          </w:p>
        </w:tc>
        <w:tc>
          <w:tcPr>
            <w:tcW w:w="2540" w:type="dxa"/>
            <w:vAlign w:val="bottom"/>
            <w:gridSpan w:val="3"/>
          </w:tcPr>
          <w:p>
            <w:pPr>
              <w:jc w:val="center"/>
              <w:ind w:right="160"/>
              <w:spacing w:after="0" w:line="153" w:lineRule="exact"/>
              <w:rPr>
                <w:sz w:val="20"/>
                <w:szCs w:val="20"/>
                <w:color w:val="auto"/>
              </w:rPr>
            </w:pPr>
            <w:r>
              <w:rPr>
                <w:rFonts w:ascii="Times New Roman" w:cs="Times New Roman" w:eastAsia="Times New Roman" w:hAnsi="Times New Roman"/>
                <w:sz w:val="14"/>
                <w:szCs w:val="14"/>
                <w:color w:val="auto"/>
                <w:w w:val="99"/>
              </w:rPr>
              <w:t>Trading Symbol(s)</w:t>
            </w:r>
          </w:p>
        </w:tc>
        <w:tc>
          <w:tcPr>
            <w:tcW w:w="3320" w:type="dxa"/>
            <w:vAlign w:val="bottom"/>
            <w:gridSpan w:val="2"/>
          </w:tcPr>
          <w:p>
            <w:pPr>
              <w:jc w:val="center"/>
              <w:ind w:left="749"/>
              <w:spacing w:after="0" w:line="153" w:lineRule="exact"/>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88"/>
        </w:trPr>
        <w:tc>
          <w:tcPr>
            <w:tcW w:w="306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660" w:type="dxa"/>
            <w:vAlign w:val="bottom"/>
          </w:tcPr>
          <w:p>
            <w:pPr>
              <w:spacing w:after="0"/>
              <w:rPr>
                <w:sz w:val="16"/>
                <w:szCs w:val="16"/>
                <w:color w:val="auto"/>
              </w:rPr>
            </w:pPr>
          </w:p>
        </w:tc>
        <w:tc>
          <w:tcPr>
            <w:tcW w:w="18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w w:val="96"/>
              </w:rPr>
              <w:t>STRR</w:t>
            </w:r>
          </w:p>
        </w:tc>
        <w:tc>
          <w:tcPr>
            <w:tcW w:w="82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0"/>
        </w:trPr>
        <w:tc>
          <w:tcPr>
            <w:tcW w:w="306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color w:val="auto"/>
              </w:rPr>
              <w:t>Series A Preferred Stock, $0.001 par value</w:t>
            </w:r>
          </w:p>
        </w:tc>
        <w:tc>
          <w:tcPr>
            <w:tcW w:w="660" w:type="dxa"/>
            <w:vAlign w:val="bottom"/>
          </w:tcPr>
          <w:p>
            <w:pPr>
              <w:spacing w:after="0"/>
              <w:rPr>
                <w:sz w:val="15"/>
                <w:szCs w:val="15"/>
                <w:color w:val="auto"/>
              </w:rPr>
            </w:pPr>
          </w:p>
        </w:tc>
        <w:tc>
          <w:tcPr>
            <w:tcW w:w="18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w w:val="98"/>
              </w:rPr>
              <w:t>STRRP</w:t>
            </w:r>
          </w:p>
        </w:tc>
        <w:tc>
          <w:tcPr>
            <w:tcW w:w="82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4"/>
        </w:trPr>
        <w:tc>
          <w:tcPr>
            <w:tcW w:w="30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color w:val="auto"/>
              </w:rPr>
              <w:t>Preferred Share Purchase Rights</w:t>
            </w: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00" w:type="dxa"/>
            <w:vAlign w:val="bottom"/>
          </w:tcPr>
          <w:p>
            <w:pPr>
              <w:spacing w:after="0"/>
              <w:rPr>
                <w:sz w:val="16"/>
                <w:szCs w:val="16"/>
                <w:color w:val="auto"/>
              </w:rPr>
            </w:pPr>
          </w:p>
        </w:tc>
      </w:tr>
    </w:tbl>
    <w:p>
      <w:pPr>
        <w:spacing w:after="0" w:line="60"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33" w:right="319" w:bottom="1440" w:gutter="0" w:footer="0" w:header="0"/>
        </w:sectPr>
      </w:pPr>
    </w:p>
    <w:bookmarkStart w:id="1" w:name="page2"/>
    <w:bookmarkEnd w:id="1"/>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532765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 w:name="page3"/>
    <w:bookmarkEnd w:id="2"/>
    <w:p>
      <w:pPr>
        <w:ind w:left="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ITEM 8.01.</w:t>
        <w:tab/>
        <w:t>OTHER EVENTS.</w:t>
      </w:r>
    </w:p>
    <w:p>
      <w:pPr>
        <w:spacing w:after="0" w:line="27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On June 29, 2026, Star Equity Holdings, Inc. (the "Company") issued a press release announcing that the Company’s common stock has been added to the Russell Microcap Index following the 2026 Russell indexes reconstitution, which became effective after the U.S. market close on June 26, 2026.</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copy of the press release is attached to this Current Report on Form 8-K as Exhibit 99.1 and is incorporated herein by reference.</w:t>
      </w:r>
    </w:p>
    <w:p>
      <w:pPr>
        <w:spacing w:after="0" w:line="261"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 Exhibits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exhibit listed in the following Exhibit Index is provided as part of the information furnished under Item 2.02 of this Current Report on Form 8-K:</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78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8"/>
              </w:rPr>
              <w:t>EXHIBIT INDEX</w:t>
            </w:r>
          </w:p>
        </w:tc>
      </w:tr>
      <w:tr>
        <w:trPr>
          <w:trHeight w:val="361"/>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3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Press Release of Star Equity Holdings, Inc. dated June 29, 2026</w:t>
            </w:r>
          </w:p>
        </w:tc>
        <w:tc>
          <w:tcPr>
            <w:tcW w:w="178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color w:val="auto"/>
        </w:rPr>
        <w:t>SIGNATURES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STAR EQUITY HOLDINGS, INC</w:t>
      </w:r>
    </w:p>
    <w:tbl>
      <w:tblPr>
        <w:tblLayout w:type="fixed"/>
        <w:tblInd w:w="4680" w:type="dxa"/>
        <w:tblCellMar>
          <w:top w:w="0" w:type="dxa"/>
          <w:left w:w="0" w:type="dxa"/>
          <w:bottom w:w="0" w:type="dxa"/>
          <w:right w:w="0" w:type="dxa"/>
        </w:tblCellMar>
      </w:tblPr>
      <w:tr>
        <w:trPr>
          <w:trHeight w:val="184"/>
        </w:trPr>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(Registrant)</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356"/>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8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MATTHEW K. DIAMOND</w:t>
            </w:r>
          </w:p>
        </w:tc>
      </w:tr>
      <w:tr>
        <w:trPr>
          <w:trHeight w:val="167"/>
        </w:trPr>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Matthew K. Diamond</w:t>
            </w:r>
          </w:p>
        </w:tc>
      </w:tr>
      <w:tr>
        <w:trPr>
          <w:trHeight w:val="184"/>
        </w:trPr>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Accounting Officer</w:t>
            </w:r>
          </w:p>
        </w:tc>
      </w:tr>
      <w:tr>
        <w:trPr>
          <w:trHeight w:val="361"/>
        </w:trPr>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5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June 29, 2026</w:t>
            </w:r>
          </w:p>
        </w:tc>
      </w:tr>
      <w:tr>
        <w:trPr>
          <w:trHeight w:val="859"/>
        </w:trPr>
        <w:tc>
          <w:tcPr>
            <w:tcW w:w="820" w:type="dxa"/>
            <w:vAlign w:val="bottom"/>
          </w:tcPr>
          <w:p>
            <w:pPr>
              <w:spacing w:after="0"/>
              <w:rPr>
                <w:sz w:val="24"/>
                <w:szCs w:val="24"/>
                <w:color w:val="auto"/>
              </w:rPr>
            </w:pPr>
          </w:p>
        </w:tc>
        <w:tc>
          <w:tcPr>
            <w:tcW w:w="74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color w:val="auto"/>
              </w:rPr>
              <w:t>2</w:t>
            </w:r>
          </w:p>
        </w:tc>
        <w:tc>
          <w:tcPr>
            <w:tcW w:w="5040" w:type="dxa"/>
            <w:vAlign w:val="bottom"/>
          </w:tcPr>
          <w:p>
            <w:pPr>
              <w:spacing w:after="0"/>
              <w:rPr>
                <w:sz w:val="24"/>
                <w:szCs w:val="24"/>
                <w:color w:val="auto"/>
              </w:rPr>
            </w:pPr>
          </w:p>
        </w:tc>
      </w:tr>
    </w:tbl>
    <w:p>
      <w:pPr>
        <w:sectPr>
          <w:pgSz w:w="11900" w:h="16838" w:orient="portrait"/>
          <w:cols w:equalWidth="0" w:num="1">
            <w:col w:w="11280"/>
          </w:cols>
          <w:pgMar w:left="300" w:top="921"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228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8228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2026-06-29T15:08:52Z</dcterms:created>
  <dcterms:modified xsi:type="dcterms:W3CDTF">2026-06-29T15:08:52Z</dcterms:modified>
</cp:coreProperties>
</file>