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4300"/>
        <w:spacing w:after="0" w:line="272" w:lineRule="auto"/>
        <w:rPr>
          <w:sz w:val="20"/>
          <w:szCs w:val="20"/>
          <w:color w:val="auto"/>
        </w:rPr>
      </w:pPr>
      <w:r>
        <w:rPr>
          <w:rFonts w:ascii="Times New Roman" w:cs="Times New Roman" w:eastAsia="Times New Roman" w:hAnsi="Times New Roman"/>
          <w:sz w:val="34"/>
          <w:szCs w:val="34"/>
          <w:color w:val="auto"/>
        </w:rPr>
        <w:drawing>
          <wp:anchor simplePos="0" relativeHeight="251657728" behindDoc="1" locked="0" layoutInCell="0" allowOverlap="1">
            <wp:simplePos x="0" y="0"/>
            <wp:positionH relativeFrom="page">
              <wp:posOffset>180975</wp:posOffset>
            </wp:positionH>
            <wp:positionV relativeFrom="page">
              <wp:posOffset>130175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page">
              <wp:posOffset>180975</wp:posOffset>
            </wp:positionH>
            <wp:positionV relativeFrom="page">
              <wp:posOffset>372745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t>SECURITIES AND EXCHANGE COMMISSION Washington, D.C. 20549</w:t>
      </w:r>
    </w:p>
    <w:p>
      <w:pPr>
        <w:spacing w:after="0" w:line="3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5"/>
          <w:szCs w:val="25"/>
          <w:color w:val="auto"/>
        </w:rPr>
        <w:t>SCHEDULE 13D</w:t>
      </w:r>
    </w:p>
    <w:p>
      <w:pPr>
        <w:spacing w:after="0" w:line="19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19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7"/>
          <w:szCs w:val="17"/>
          <w:b w:val="1"/>
          <w:bCs w:val="1"/>
          <w:color w:val="auto"/>
        </w:rPr>
        <w:t xml:space="preserve">(Amendment No. </w:t>
      </w:r>
      <w:r>
        <w:rPr>
          <w:rFonts w:ascii="Times New Roman" w:cs="Times New Roman" w:eastAsia="Times New Roman" w:hAnsi="Times New Roman"/>
          <w:sz w:val="17"/>
          <w:szCs w:val="17"/>
          <w:b w:val="1"/>
          <w:bCs w:val="1"/>
          <w:color w:val="0000FF"/>
        </w:rPr>
        <w:t>12</w:t>
      </w:r>
      <w:r>
        <w:rPr>
          <w:rFonts w:ascii="Times New Roman" w:cs="Times New Roman" w:eastAsia="Times New Roman" w:hAnsi="Times New Roman"/>
          <w:sz w:val="17"/>
          <w:szCs w:val="17"/>
          <w:b w:val="1"/>
          <w:bCs w:val="1"/>
          <w:color w:val="auto"/>
        </w:rPr>
        <w:t>)*</w:t>
      </w:r>
    </w:p>
    <w:p>
      <w:pPr>
        <w:spacing w:after="0" w:line="200" w:lineRule="exact"/>
        <w:rPr>
          <w:sz w:val="24"/>
          <w:szCs w:val="24"/>
          <w:color w:val="auto"/>
        </w:rPr>
      </w:pPr>
    </w:p>
    <w:p>
      <w:pPr>
        <w:spacing w:after="0" w:line="220"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Star Equity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478853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66"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00" w:lineRule="exact"/>
        <w:rPr>
          <w:sz w:val="24"/>
          <w:szCs w:val="24"/>
          <w:color w:val="auto"/>
        </w:rPr>
      </w:pPr>
    </w:p>
    <w:p>
      <w:pPr>
        <w:spacing w:after="0" w:line="220"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478853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6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323215</wp:posOffset>
            </wp:positionV>
            <wp:extent cx="478853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00" w:lineRule="exact"/>
        <w:rPr>
          <w:sz w:val="24"/>
          <w:szCs w:val="24"/>
          <w:color w:val="auto"/>
        </w:rPr>
      </w:pPr>
    </w:p>
    <w:p>
      <w:pPr>
        <w:spacing w:after="0" w:line="220"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0000FF"/>
        </w:rPr>
        <w:t>JEFFREY E. EBERWEIN</w:t>
      </w:r>
    </w:p>
    <w:p>
      <w:pPr>
        <w:spacing w:after="0" w:line="1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0000FF"/>
        </w:rPr>
        <w:t>53 Forest Avenue, Suite 101,</w:t>
      </w:r>
    </w:p>
    <w:p>
      <w:pPr>
        <w:ind w:left="2820"/>
        <w:spacing w:after="0" w:line="234" w:lineRule="auto"/>
        <w:rPr>
          <w:sz w:val="20"/>
          <w:szCs w:val="20"/>
          <w:color w:val="auto"/>
        </w:rPr>
      </w:pPr>
      <w:r>
        <w:rPr>
          <w:rFonts w:ascii="Times New Roman" w:cs="Times New Roman" w:eastAsia="Times New Roman" w:hAnsi="Times New Roman"/>
          <w:sz w:val="17"/>
          <w:szCs w:val="17"/>
          <w:b w:val="1"/>
          <w:bCs w:val="1"/>
          <w:color w:val="0000FF"/>
        </w:rPr>
        <w:t>Old Greenwich, CT, 06870</w:t>
      </w:r>
    </w:p>
    <w:p>
      <w:pPr>
        <w:ind w:left="3300"/>
        <w:spacing w:after="0"/>
        <w:rPr>
          <w:sz w:val="20"/>
          <w:szCs w:val="20"/>
          <w:color w:val="auto"/>
        </w:rPr>
      </w:pPr>
      <w:r>
        <w:rPr>
          <w:rFonts w:ascii="Times New Roman" w:cs="Times New Roman" w:eastAsia="Times New Roman" w:hAnsi="Times New Roman"/>
          <w:sz w:val="17"/>
          <w:szCs w:val="17"/>
          <w:b w:val="1"/>
          <w:bCs w:val="1"/>
          <w:color w:val="0000FF"/>
        </w:rPr>
        <w:t>203-489-9500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40005</wp:posOffset>
            </wp:positionV>
            <wp:extent cx="478853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44"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w:t>
      </w:r>
    </w:p>
    <w:p>
      <w:pPr>
        <w:spacing w:after="0" w:line="38" w:lineRule="exact"/>
        <w:rPr>
          <w:sz w:val="24"/>
          <w:szCs w:val="24"/>
          <w:color w:val="auto"/>
        </w:rPr>
      </w:pPr>
    </w:p>
    <w:p>
      <w:pPr>
        <w:jc w:val="center"/>
        <w:ind w:right="3720"/>
        <w:spacing w:after="0"/>
        <w:rPr>
          <w:sz w:val="20"/>
          <w:szCs w:val="20"/>
          <w:color w:val="auto"/>
        </w:rPr>
      </w:pPr>
      <w:r>
        <w:rPr>
          <w:rFonts w:ascii="Times New Roman" w:cs="Times New Roman" w:eastAsia="Times New Roman" w:hAnsi="Times New Roman"/>
          <w:sz w:val="17"/>
          <w:szCs w:val="17"/>
          <w:b w:val="1"/>
          <w:bCs w:val="1"/>
          <w:color w:val="0000FF"/>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478853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88535" cy="38735"/>
                    </a:xfrm>
                    <a:prstGeom prst="rect">
                      <a:avLst/>
                    </a:prstGeom>
                    <a:noFill/>
                  </pic:spPr>
                </pic:pic>
              </a:graphicData>
            </a:graphic>
          </wp:anchor>
        </w:drawing>
      </w:r>
    </w:p>
    <w:p>
      <w:pPr>
        <w:spacing w:after="0" w:line="16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(Date of Event Which Requires Filing of This Statement)</w:t>
      </w:r>
    </w:p>
    <w:p>
      <w:pPr>
        <w:spacing w:after="0" w:line="200" w:lineRule="exact"/>
        <w:rPr>
          <w:sz w:val="24"/>
          <w:szCs w:val="24"/>
          <w:color w:val="auto"/>
        </w:rPr>
      </w:pPr>
    </w:p>
    <w:p>
      <w:pPr>
        <w:spacing w:after="0" w:line="213"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00965" cy="1009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p>
    <w:p>
      <w:pPr>
        <w:spacing w:after="0" w:line="133"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92075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SCHEDULE 13D</w:t>
      </w:r>
    </w:p>
    <w:p>
      <w:pPr>
        <w:sectPr>
          <w:pgSz w:w="11900" w:h="16838" w:orient="portrait"/>
          <w:cols w:equalWidth="0" w:num="1">
            <w:col w:w="11280"/>
          </w:cols>
          <w:pgMar w:left="300" w:top="711" w:right="319" w:bottom="0" w:gutter="0" w:footer="0" w:header="0"/>
        </w:sectPr>
      </w:pP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CUSIP No.</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1</w:t>
      </w:r>
    </w:p>
    <w:p>
      <w:pPr>
        <w:spacing w:after="0" w:line="200" w:lineRule="exact"/>
        <w:rPr>
          <w:sz w:val="24"/>
          <w:szCs w:val="24"/>
          <w:color w:val="auto"/>
        </w:rPr>
      </w:pPr>
    </w:p>
    <w:p>
      <w:pPr>
        <w:spacing w:after="0" w:line="3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2</w:t>
      </w:r>
    </w:p>
    <w:p>
      <w:pPr>
        <w:spacing w:after="0" w:line="3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3</w:t>
      </w:r>
    </w:p>
    <w:p>
      <w:pPr>
        <w:spacing w:after="0" w:line="2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4</w:t>
      </w:r>
    </w:p>
    <w:p>
      <w:pPr>
        <w:spacing w:after="0" w:line="39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5</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reporting person</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JEFFREY E. EBERWEIN</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197" w:lineRule="exact"/>
        <w:rPr>
          <w:sz w:val="24"/>
          <w:szCs w:val="24"/>
          <w:color w:val="auto"/>
        </w:rPr>
      </w:pPr>
    </w:p>
    <w:p>
      <w:pPr>
        <w:spacing w:after="0"/>
        <w:rPr>
          <w:sz w:val="20"/>
          <w:szCs w:val="20"/>
          <w:color w:val="auto"/>
        </w:rPr>
      </w:pPr>
      <w:r>
        <w:rPr>
          <w:sz w:val="1"/>
          <w:szCs w:val="1"/>
          <w:color w:val="auto"/>
        </w:rPr>
        <w:drawing>
          <wp:inline distT="0" distB="0" distL="0" distR="0">
            <wp:extent cx="100965" cy="1009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w:t>
      </w:r>
    </w:p>
    <w:p>
      <w:pPr>
        <w:spacing w:after="0" w:line="16" w:lineRule="exact"/>
        <w:rPr>
          <w:sz w:val="24"/>
          <w:szCs w:val="24"/>
          <w:color w:val="auto"/>
        </w:rPr>
      </w:pPr>
    </w:p>
    <w:p>
      <w:pPr>
        <w:spacing w:after="0"/>
        <w:rPr>
          <w:sz w:val="20"/>
          <w:szCs w:val="20"/>
          <w:color w:val="auto"/>
        </w:rPr>
      </w:pPr>
      <w:r>
        <w:rPr>
          <w:sz w:val="1"/>
          <w:szCs w:val="1"/>
          <w:color w:val="auto"/>
        </w:rPr>
        <w:drawing>
          <wp:inline distT="0" distB="0" distL="0" distR="0">
            <wp:extent cx="100965" cy="1009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965" cy="10096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(b)</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 use only</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Source of funds (See Instructions)</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PF, OO</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if disclosure of legal proceedings is required pursuant to Items 2(d) or 2(e)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100965" cy="100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965" cy="100965"/>
                    </a:xfrm>
                    <a:prstGeom prst="rect">
                      <a:avLst/>
                    </a:prstGeom>
                    <a:noFill/>
                  </pic:spPr>
                </pic:pic>
              </a:graphicData>
            </a:graphic>
          </wp:anchor>
        </w:drawing>
      </w:r>
    </w:p>
    <w:p>
      <w:pPr>
        <w:spacing w:after="0" w:line="38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Citizenship or place of organization</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38" w:lineRule="exact"/>
        <w:rPr>
          <w:sz w:val="24"/>
          <w:szCs w:val="24"/>
          <w:color w:val="auto"/>
        </w:rPr>
      </w:pPr>
    </w:p>
    <w:p>
      <w:pPr>
        <w:sectPr>
          <w:pgSz w:w="11900" w:h="16838" w:orient="portrait"/>
          <w:cols w:equalWidth="0" w:num="2">
            <w:col w:w="840" w:space="120"/>
            <w:col w:w="10320"/>
          </w:cols>
          <w:pgMar w:left="300" w:top="711" w:right="319" w:bottom="0" w:gutter="0" w:footer="0" w:header="0"/>
          <w:type w:val="continuous"/>
        </w:sectPr>
      </w:pPr>
    </w:p>
    <w:tbl>
      <w:tblPr>
        <w:tblLayout w:type="fixed"/>
        <w:tblInd w:w="40" w:type="dxa"/>
        <w:tblCellMar>
          <w:top w:w="0" w:type="dxa"/>
          <w:left w:w="0" w:type="dxa"/>
          <w:bottom w:w="0" w:type="dxa"/>
          <w:right w:w="0" w:type="dxa"/>
        </w:tblCellMar>
      </w:tblPr>
      <w:tr>
        <w:trPr>
          <w:trHeight w:val="201"/>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Number of</w:t>
            </w:r>
          </w:p>
        </w:tc>
        <w:tc>
          <w:tcPr>
            <w:tcW w:w="220" w:type="dxa"/>
            <w:vAlign w:val="bottom"/>
          </w:tcPr>
          <w:p>
            <w:pPr>
              <w:spacing w:after="0"/>
              <w:rPr>
                <w:sz w:val="17"/>
                <w:szCs w:val="17"/>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Sole Voting Power</w:t>
            </w:r>
          </w:p>
        </w:tc>
        <w:tc>
          <w:tcPr>
            <w:tcW w:w="0" w:type="dxa"/>
            <w:vAlign w:val="bottom"/>
          </w:tcPr>
          <w:p>
            <w:pPr>
              <w:spacing w:after="0"/>
              <w:rPr>
                <w:sz w:val="1"/>
                <w:szCs w:val="1"/>
                <w:color w:val="auto"/>
              </w:rPr>
            </w:pP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Shares</w:t>
            </w:r>
          </w:p>
        </w:tc>
        <w:tc>
          <w:tcPr>
            <w:tcW w:w="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Beneficially</w:t>
            </w:r>
          </w:p>
        </w:tc>
        <w:tc>
          <w:tcPr>
            <w:tcW w:w="220" w:type="dxa"/>
            <w:vAlign w:val="bottom"/>
          </w:tcPr>
          <w:p>
            <w:pPr>
              <w:spacing w:after="0"/>
              <w:rPr>
                <w:sz w:val="16"/>
                <w:szCs w:val="16"/>
                <w:color w:val="auto"/>
              </w:rPr>
            </w:pPr>
          </w:p>
        </w:tc>
        <w:tc>
          <w:tcPr>
            <w:tcW w:w="1660" w:type="dxa"/>
            <w:vAlign w:val="bottom"/>
          </w:tcPr>
          <w:p>
            <w:pPr>
              <w:ind w:left="60"/>
              <w:spacing w:after="0" w:line="191" w:lineRule="exact"/>
              <w:rPr>
                <w:sz w:val="20"/>
                <w:szCs w:val="20"/>
                <w:color w:val="auto"/>
              </w:rPr>
            </w:pPr>
            <w:r>
              <w:rPr>
                <w:rFonts w:ascii="Times New Roman" w:cs="Times New Roman" w:eastAsia="Times New Roman" w:hAnsi="Times New Roman"/>
                <w:sz w:val="17"/>
                <w:szCs w:val="17"/>
                <w:color w:val="auto"/>
              </w:rPr>
              <w:t>1,149,289.00</w:t>
            </w:r>
          </w:p>
        </w:tc>
        <w:tc>
          <w:tcPr>
            <w:tcW w:w="0" w:type="dxa"/>
            <w:vAlign w:val="bottom"/>
          </w:tcPr>
          <w:p>
            <w:pPr>
              <w:spacing w:after="0"/>
              <w:rPr>
                <w:sz w:val="1"/>
                <w:szCs w:val="1"/>
                <w:color w:val="auto"/>
              </w:rPr>
            </w:pPr>
          </w:p>
        </w:tc>
      </w:tr>
      <w:tr>
        <w:trPr>
          <w:trHeight w:val="181"/>
        </w:trPr>
        <w:tc>
          <w:tcPr>
            <w:tcW w:w="88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Each</w:t>
            </w:r>
          </w:p>
        </w:tc>
        <w:tc>
          <w:tcPr>
            <w:tcW w:w="22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Reporting</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w w:val="98"/>
              </w:rPr>
              <w:t>Sole Dispositive Power</w:t>
            </w: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11" w:right="31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color w:val="auto"/>
        </w:rPr>
        <w:t>Person</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17"/>
          <w:szCs w:val="17"/>
          <w:color w:val="auto"/>
        </w:rPr>
        <w:t>With:</w:t>
      </w:r>
      <w:r>
        <w:rPr>
          <w:sz w:val="20"/>
          <w:szCs w:val="20"/>
          <w:color w:val="auto"/>
        </w:rPr>
        <w:tab/>
      </w:r>
      <w:r>
        <w:rPr>
          <w:rFonts w:ascii="Times New Roman" w:cs="Times New Roman" w:eastAsia="Times New Roman" w:hAnsi="Times New Roman"/>
          <w:sz w:val="17"/>
          <w:szCs w:val="17"/>
          <w:color w:val="auto"/>
        </w:rPr>
        <w:t>1,149,289.00</w:t>
      </w:r>
    </w:p>
    <w:p>
      <w:pPr>
        <w:ind w:left="1000"/>
        <w:spacing w:after="0" w:line="211" w:lineRule="auto"/>
        <w:rPr>
          <w:sz w:val="20"/>
          <w:szCs w:val="20"/>
          <w:color w:val="auto"/>
        </w:rPr>
      </w:pPr>
      <w:r>
        <w:rPr>
          <w:rFonts w:ascii="Times New Roman" w:cs="Times New Roman" w:eastAsia="Times New Roman" w:hAnsi="Times New Roman"/>
          <w:sz w:val="33"/>
          <w:szCs w:val="33"/>
          <w:color w:val="auto"/>
          <w:vertAlign w:val="subscript"/>
        </w:rPr>
        <w:t>10</w:t>
      </w:r>
      <w:r>
        <w:rPr>
          <w:rFonts w:ascii="Times New Roman" w:cs="Times New Roman" w:eastAsia="Times New Roman" w:hAnsi="Times New Roman"/>
          <w:sz w:val="17"/>
          <w:szCs w:val="17"/>
          <w:color w:val="auto"/>
        </w:rPr>
        <w:t xml:space="preserve"> Shared Dispositive Power</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11</w:t>
      </w:r>
    </w:p>
    <w:p>
      <w:pPr>
        <w:ind w:left="960"/>
        <w:spacing w:after="0"/>
        <w:rPr>
          <w:sz w:val="20"/>
          <w:szCs w:val="20"/>
          <w:color w:val="auto"/>
        </w:rPr>
      </w:pPr>
      <w:r>
        <w:rPr>
          <w:rFonts w:ascii="Times New Roman" w:cs="Times New Roman" w:eastAsia="Times New Roman" w:hAnsi="Times New Roman"/>
          <w:sz w:val="17"/>
          <w:szCs w:val="17"/>
          <w:color w:val="auto"/>
        </w:rPr>
        <w:t>1,149,289.00</w:t>
      </w:r>
    </w:p>
    <w:p>
      <w:pPr>
        <w:spacing w:after="0" w:line="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12065</wp:posOffset>
            </wp:positionV>
            <wp:extent cx="100965" cy="100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965" cy="100965"/>
                    </a:xfrm>
                    <a:prstGeom prst="rect">
                      <a:avLst/>
                    </a:prstGeom>
                    <a:noFill/>
                  </pic:spPr>
                </pic:pic>
              </a:graphicData>
            </a:graphic>
          </wp:anchor>
        </w:drawing>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Percent of class represented by amount in Row (11)</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13</w:t>
      </w:r>
    </w:p>
    <w:p>
      <w:pPr>
        <w:ind w:left="960"/>
        <w:spacing w:after="0"/>
        <w:rPr>
          <w:sz w:val="20"/>
          <w:szCs w:val="20"/>
          <w:color w:val="auto"/>
        </w:rPr>
      </w:pPr>
      <w:r>
        <w:rPr>
          <w:rFonts w:ascii="Times New Roman" w:cs="Times New Roman" w:eastAsia="Times New Roman" w:hAnsi="Times New Roman"/>
          <w:sz w:val="17"/>
          <w:szCs w:val="17"/>
          <w:color w:val="auto"/>
        </w:rPr>
        <w:t>30.7 %</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Type of Reporting Person (See Instructions)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14</w:t>
      </w:r>
    </w:p>
    <w:p>
      <w:pPr>
        <w:ind w:left="960"/>
        <w:spacing w:after="0"/>
        <w:rPr>
          <w:sz w:val="20"/>
          <w:szCs w:val="20"/>
          <w:color w:val="auto"/>
        </w:rPr>
      </w:pPr>
      <w:r>
        <w:rPr>
          <w:rFonts w:ascii="Times New Roman" w:cs="Times New Roman" w:eastAsia="Times New Roman" w:hAnsi="Times New Roman"/>
          <w:sz w:val="17"/>
          <w:szCs w:val="17"/>
          <w:color w:val="auto"/>
        </w:rPr>
        <w:t>IN</w:t>
      </w:r>
    </w:p>
    <w:p>
      <w:pPr>
        <w:spacing w:after="0" w:line="2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b w:val="1"/>
          <w:bCs w:val="1"/>
          <w:color w:val="auto"/>
        </w:rPr>
        <w:t xml:space="preserve">Comment </w:t>
      </w:r>
      <w:r>
        <w:rPr>
          <w:rFonts w:ascii="Times New Roman" w:cs="Times New Roman" w:eastAsia="Times New Roman" w:hAnsi="Times New Roman"/>
          <w:sz w:val="16"/>
          <w:szCs w:val="16"/>
          <w:color w:val="auto"/>
        </w:rPr>
        <w:t>* Includes 49,450 shares of common stock underlying immediately exercisable warrants ("Warrants") to purchase Star common stock. Excludes certain</w:t>
      </w:r>
      <w:r>
        <w:rPr>
          <w:rFonts w:ascii="Times New Roman" w:cs="Times New Roman" w:eastAsia="Times New Roman" w:hAnsi="Times New Roman"/>
          <w:sz w:val="15"/>
          <w:szCs w:val="15"/>
          <w:b w:val="1"/>
          <w:bCs w:val="1"/>
          <w:color w:val="auto"/>
        </w:rPr>
        <w:t xml:space="preserve"> for Type of </w:t>
      </w:r>
      <w:r>
        <w:rPr>
          <w:rFonts w:ascii="Times New Roman" w:cs="Times New Roman" w:eastAsia="Times New Roman" w:hAnsi="Times New Roman"/>
          <w:sz w:val="16"/>
          <w:szCs w:val="16"/>
          <w:color w:val="auto"/>
        </w:rPr>
        <w:t>grants made under the Issuer's 2009 Incentive Stock and Awards Plan, as amended and restated, specifically 8,918 shares of restricted stock granted on</w:t>
      </w:r>
    </w:p>
    <w:p>
      <w:pPr>
        <w:spacing w:after="0" w:line="1" w:lineRule="exact"/>
        <w:rPr>
          <w:sz w:val="20"/>
          <w:szCs w:val="20"/>
          <w:color w:val="auto"/>
        </w:rPr>
      </w:pPr>
    </w:p>
    <w:p>
      <w:pPr>
        <w:spacing w:after="0" w:line="197" w:lineRule="auto"/>
        <w:rPr>
          <w:sz w:val="20"/>
          <w:szCs w:val="20"/>
          <w:color w:val="auto"/>
        </w:rPr>
      </w:pPr>
      <w:r>
        <w:rPr>
          <w:rFonts w:ascii="Times New Roman" w:cs="Times New Roman" w:eastAsia="Times New Roman" w:hAnsi="Times New Roman"/>
          <w:sz w:val="30"/>
          <w:szCs w:val="30"/>
          <w:b w:val="1"/>
          <w:bCs w:val="1"/>
          <w:color w:val="auto"/>
          <w:vertAlign w:val="superscript"/>
        </w:rPr>
        <w:t>Reporting</w:t>
      </w:r>
      <w:r>
        <w:rPr>
          <w:rFonts w:ascii="Times New Roman" w:cs="Times New Roman" w:eastAsia="Times New Roman" w:hAnsi="Times New Roman"/>
          <w:sz w:val="17"/>
          <w:szCs w:val="17"/>
          <w:color w:val="auto"/>
        </w:rPr>
        <w:t xml:space="preserve"> September 15, 2025, 5,703 shares of restricted stock granted on January 15, 2026, 6,504 shares of restricted stock granted on April 15, 2026, and 6,750 </w:t>
      </w:r>
      <w:r>
        <w:rPr>
          <w:rFonts w:ascii="Times New Roman" w:cs="Times New Roman" w:eastAsia="Times New Roman" w:hAnsi="Times New Roman"/>
          <w:sz w:val="30"/>
          <w:szCs w:val="30"/>
          <w:b w:val="1"/>
          <w:bCs w:val="1"/>
          <w:color w:val="auto"/>
          <w:vertAlign w:val="superscript"/>
        </w:rPr>
        <w:t>Person:</w:t>
      </w:r>
      <w:r>
        <w:rPr>
          <w:rFonts w:ascii="Times New Roman" w:cs="Times New Roman" w:eastAsia="Times New Roman" w:hAnsi="Times New Roman"/>
          <w:sz w:val="17"/>
          <w:szCs w:val="17"/>
          <w:color w:val="auto"/>
        </w:rPr>
        <w:t xml:space="preserve"> restricted stock units granted on January 24, 2025, which vest upon the anniversary of the respective grant dates.</w:t>
      </w: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SCHEDULE 13D</w:t>
      </w:r>
    </w:p>
    <w:p>
      <w:pPr>
        <w:spacing w:after="0" w:line="23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7"/>
          <w:szCs w:val="17"/>
          <w:color w:val="auto"/>
        </w:rPr>
        <w:t>Item 1.</w:t>
      </w:r>
      <w:r>
        <w:rPr>
          <w:sz w:val="20"/>
          <w:szCs w:val="20"/>
          <w:color w:val="auto"/>
        </w:rPr>
        <w:tab/>
      </w:r>
      <w:r>
        <w:rPr>
          <w:rFonts w:ascii="Times New Roman" w:cs="Times New Roman" w:eastAsia="Times New Roman" w:hAnsi="Times New Roman"/>
          <w:sz w:val="16"/>
          <w:szCs w:val="16"/>
          <w:color w:val="auto"/>
        </w:rPr>
        <w:t>Security and Issuer</w:t>
      </w:r>
    </w:p>
    <w:p>
      <w:pPr>
        <w:spacing w:after="0" w:line="3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w:t>
      </w:r>
    </w:p>
    <w:p>
      <w:pPr>
        <w:ind w:left="96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Name of Issuer: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w:t>
      </w:r>
    </w:p>
    <w:p>
      <w:pPr>
        <w:ind w:left="960"/>
        <w:spacing w:after="0"/>
        <w:rPr>
          <w:sz w:val="20"/>
          <w:szCs w:val="20"/>
          <w:color w:val="auto"/>
        </w:rPr>
      </w:pPr>
      <w:r>
        <w:rPr>
          <w:rFonts w:ascii="Times New Roman" w:cs="Times New Roman" w:eastAsia="Times New Roman" w:hAnsi="Times New Roman"/>
          <w:sz w:val="17"/>
          <w:szCs w:val="17"/>
          <w:color w:val="auto"/>
        </w:rPr>
        <w:t>Star Equity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Address of Issuer's Principal Executive Offices: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w:t>
      </w:r>
    </w:p>
    <w:p>
      <w:pPr>
        <w:ind w:left="960"/>
        <w:spacing w:after="0"/>
        <w:rPr>
          <w:sz w:val="20"/>
          <w:szCs w:val="20"/>
          <w:color w:val="auto"/>
        </w:rPr>
      </w:pPr>
      <w:r>
        <w:rPr>
          <w:rFonts w:ascii="Times New Roman" w:cs="Times New Roman" w:eastAsia="Times New Roman" w:hAnsi="Times New Roman"/>
          <w:sz w:val="17"/>
          <w:szCs w:val="17"/>
          <w:color w:val="auto"/>
        </w:rPr>
        <w:t>53 FOREST AVENUE, SUITE 101, OLD GREENWICH, CONNECTICUT , 06870.</w:t>
      </w:r>
    </w:p>
    <w:p>
      <w:pPr>
        <w:spacing w:after="0" w:line="20" w:lineRule="exact"/>
        <w:rPr>
          <w:sz w:val="20"/>
          <w:szCs w:val="20"/>
          <w:color w:val="auto"/>
        </w:rPr>
      </w:pPr>
    </w:p>
    <w:p>
      <w:pPr>
        <w:ind w:left="40" w:right="40"/>
        <w:spacing w:after="0" w:line="276" w:lineRule="auto"/>
        <w:rPr>
          <w:sz w:val="20"/>
          <w:szCs w:val="20"/>
          <w:color w:val="auto"/>
        </w:rPr>
      </w:pPr>
      <w:r>
        <w:rPr>
          <w:rFonts w:ascii="Times New Roman" w:cs="Times New Roman" w:eastAsia="Times New Roman" w:hAnsi="Times New Roman"/>
          <w:sz w:val="15"/>
          <w:szCs w:val="15"/>
          <w:b w:val="1"/>
          <w:bCs w:val="1"/>
          <w:color w:val="auto"/>
        </w:rPr>
        <w:t xml:space="preserve">Item 1 </w:t>
      </w:r>
      <w:r>
        <w:rPr>
          <w:rFonts w:ascii="Times New Roman" w:cs="Times New Roman" w:eastAsia="Times New Roman" w:hAnsi="Times New Roman"/>
          <w:sz w:val="16"/>
          <w:szCs w:val="16"/>
          <w:color w:val="auto"/>
        </w:rPr>
        <w:t>The following constitutes Amendment No. 12 to the Schedule 13D filed by the undersigned ("Amendment No. 12"). This Amendment No. 12 amends</w:t>
      </w:r>
      <w:r>
        <w:rPr>
          <w:rFonts w:ascii="Times New Roman" w:cs="Times New Roman" w:eastAsia="Times New Roman" w:hAnsi="Times New Roman"/>
          <w:sz w:val="15"/>
          <w:szCs w:val="15"/>
          <w:b w:val="1"/>
          <w:bCs w:val="1"/>
          <w:color w:val="auto"/>
        </w:rPr>
        <w:t xml:space="preserve"> Comment: </w:t>
      </w:r>
      <w:r>
        <w:rPr>
          <w:rFonts w:ascii="Times New Roman" w:cs="Times New Roman" w:eastAsia="Times New Roman" w:hAnsi="Times New Roman"/>
          <w:sz w:val="16"/>
          <w:szCs w:val="16"/>
          <w:color w:val="auto"/>
        </w:rPr>
        <w:t>the Schedule 13D as specifically set forth herein.</w:t>
      </w:r>
    </w:p>
    <w:p>
      <w:pPr>
        <w:spacing w:after="0" w:line="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7"/>
          <w:szCs w:val="17"/>
          <w:color w:val="auto"/>
        </w:rPr>
        <w:t>Item 3.</w:t>
      </w:r>
      <w:r>
        <w:rPr>
          <w:sz w:val="20"/>
          <w:szCs w:val="20"/>
          <w:color w:val="auto"/>
        </w:rPr>
        <w:tab/>
      </w:r>
      <w:r>
        <w:rPr>
          <w:rFonts w:ascii="Times New Roman" w:cs="Times New Roman" w:eastAsia="Times New Roman" w:hAnsi="Times New Roman"/>
          <w:sz w:val="16"/>
          <w:szCs w:val="16"/>
          <w:color w:val="auto"/>
        </w:rPr>
        <w:t>Source and Amount of Funds or Other Consideration</w:t>
      </w:r>
    </w:p>
    <w:p>
      <w:pPr>
        <w:spacing w:after="0" w:line="38" w:lineRule="exact"/>
        <w:rPr>
          <w:sz w:val="20"/>
          <w:szCs w:val="20"/>
          <w:color w:val="auto"/>
        </w:rPr>
      </w:pPr>
    </w:p>
    <w:p>
      <w:pPr>
        <w:ind w:left="960" w:right="120"/>
        <w:spacing w:after="0" w:line="249" w:lineRule="auto"/>
        <w:rPr>
          <w:sz w:val="20"/>
          <w:szCs w:val="20"/>
          <w:color w:val="auto"/>
        </w:rPr>
      </w:pPr>
      <w:r>
        <w:rPr>
          <w:rFonts w:ascii="Times New Roman" w:cs="Times New Roman" w:eastAsia="Times New Roman" w:hAnsi="Times New Roman"/>
          <w:sz w:val="17"/>
          <w:szCs w:val="17"/>
          <w:color w:val="auto"/>
        </w:rPr>
        <w:t>Item 3 is hereby amended and restated as follows: The aggregate purchase price of the 1,149,289 Shares beneficially owned by Mr. Eberwein is approximately $22,560,917, excluding brokerage commissions. In addition to the 1,149,289 Shares, Mr. Eberwein owns 765,077 shares of the Issuer's 10% Series A Cumulative Perpetual Preferred Stock.</w:t>
      </w:r>
    </w:p>
    <w:p>
      <w:pPr>
        <w:spacing w:after="0" w:line="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7"/>
          <w:szCs w:val="17"/>
          <w:color w:val="auto"/>
        </w:rPr>
        <w:t>Item 4.</w:t>
      </w:r>
      <w:r>
        <w:rPr>
          <w:sz w:val="20"/>
          <w:szCs w:val="20"/>
          <w:color w:val="auto"/>
        </w:rPr>
        <w:tab/>
      </w:r>
      <w:r>
        <w:rPr>
          <w:rFonts w:ascii="Times New Roman" w:cs="Times New Roman" w:eastAsia="Times New Roman" w:hAnsi="Times New Roman"/>
          <w:sz w:val="16"/>
          <w:szCs w:val="16"/>
          <w:color w:val="auto"/>
        </w:rPr>
        <w:t>Purpose of Transaction</w:t>
      </w:r>
    </w:p>
    <w:p>
      <w:pPr>
        <w:sectPr>
          <w:pgSz w:w="11900" w:h="16838" w:orient="portrait"/>
          <w:cols w:equalWidth="0" w:num="1">
            <w:col w:w="11280"/>
          </w:cols>
          <w:pgMar w:left="300" w:top="118" w:right="319" w:bottom="4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Item 5.</w:t>
      </w: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Item 7.</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7"/>
          <w:szCs w:val="17"/>
          <w:color w:val="auto"/>
        </w:rPr>
        <w:t>Item 4 is hereby amended to add the following: On June 25, 2026 Mr. Eberwein (the "Seller") entered into a Rule 10b5-1 of the Securities Exchange Act of 1934 ("Exchange Act") Sales Trading Plan ("10b5-1 Sales Plan") with Ladenburg Thalmann &amp; Co. ("Broker") for the purpose of establishing a trading plan to effect sales of shares of Series A Cumulative Perpetual Preferred Stock, par value $0.001 per share, ("Preferred Stock") of the Issuer in compliance with all applicable laws, including, without limitation, Section 10(b) of the Exchange Act and the rules and regulations promulgated thereunder, including, but not limited to, Rule 10b5-1. The Broker is authorized to begin selling Preferred Stock pursuant to the 10b5-1 Sales Plan on October 1, 2026. The 10b5-1 Sales Plan expires on October 1, 2028, unless terminated earlier under certain conditions. There can be no assurance as to how many preferred shares, if any, will be sold pursuant to the 10b5-1 Sales Plan or at what price any such shares of Preferred Stock will be sold. The Seller may in the future modify, amend, suspend, or terminate the 10b5-1 Sales Plan in its sole discretion, and the Seller does not undertake any obligation to disclose any such modification, amendment, suspension, or termination. Notwithstanding, the Broker shall not sell Preferred Stock under the 10b5-1 Sales Plan, while the Broker is selling Preferred Stock as sales agent for the Issuer's ATM offering program. A copy of the 10b5-1 Sales Plan is attached hereto as Exhibit 99.2 and is incorporated herein by reference.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 Securities of the Issuer</w:t>
      </w:r>
    </w:p>
    <w:p>
      <w:pPr>
        <w:spacing w:after="0" w:line="38"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7"/>
          <w:szCs w:val="17"/>
          <w:color w:val="auto"/>
        </w:rPr>
        <w:t>Items 5(a)-(c) are hereby amended and restated to read as follows: The aggregate percentage of Shares reported owned by the Reporting Person is based upon 3,748,404 Shares, which is inclusive of 3,698,954 shares outstanding as of June 29, 2026 in addition to 49,450 Warrants attributed to the Reporting Person. The total number of Shares outstanding is based on information provided by the Issuer to the Reporting Person. As of the close of business on June 29, 2026, Mr. Eberwein beneficially owned 1,149,289 Shares. Percentage: 30.66%</w:t>
      </w:r>
    </w:p>
    <w:p>
      <w:pPr>
        <w:spacing w:after="0" w:line="11" w:lineRule="exact"/>
        <w:rPr>
          <w:sz w:val="20"/>
          <w:szCs w:val="20"/>
          <w:color w:val="auto"/>
        </w:rPr>
      </w:pPr>
    </w:p>
    <w:p>
      <w:pPr>
        <w:ind w:right="80"/>
        <w:spacing w:after="0" w:line="260" w:lineRule="auto"/>
        <w:tabs>
          <w:tab w:leader="none" w:pos="17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vote: 1,149,289 2. Shared power to vote or direct vote: 0 3. Sole power to dispose or direct the disposition: 1,149,289 4. Shared power to dispose or direct the disposition: 0</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7"/>
          <w:szCs w:val="17"/>
          <w:color w:val="auto"/>
        </w:rPr>
        <w:t>Jeff Eberwein's transactions in the Shares since the last Schedule 13D/A filed on June 1, 2026 are set forth in Schedule A, attached hereto as Exhibit 99.1, and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to be Filed as Exhibits.</w:t>
      </w:r>
    </w:p>
    <w:p>
      <w:pPr>
        <w:spacing w:after="0" w:line="38"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7"/>
          <w:szCs w:val="17"/>
          <w:color w:val="auto"/>
        </w:rPr>
        <w:t>Exhibit 99.1 - Schedule A; Exhibit 99.2 - Rule 10b5-1 Sales Trading Plan, dated June 25, 2026, by and between Jeffrey E. Eberwein and Ladenburg Thalmann &amp; Co.</w:t>
      </w:r>
    </w:p>
    <w:p>
      <w:pPr>
        <w:spacing w:after="0" w:line="200" w:lineRule="exact"/>
        <w:rPr>
          <w:sz w:val="20"/>
          <w:szCs w:val="20"/>
          <w:color w:val="auto"/>
        </w:rPr>
      </w:pPr>
    </w:p>
    <w:p>
      <w:pPr>
        <w:sectPr>
          <w:pgSz w:w="11900" w:h="16838" w:orient="portrait"/>
          <w:cols w:equalWidth="0" w:num="2">
            <w:col w:w="520" w:space="440"/>
            <w:col w:w="10320"/>
          </w:cols>
          <w:pgMar w:left="300" w:top="118" w:right="319" w:bottom="479"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SIGNATURE</w:t>
      </w:r>
    </w:p>
    <w:p>
      <w:pPr>
        <w:spacing w:after="0" w:line="38" w:lineRule="exact"/>
        <w:rPr>
          <w:sz w:val="20"/>
          <w:szCs w:val="20"/>
          <w:color w:val="auto"/>
        </w:rPr>
      </w:pPr>
    </w:p>
    <w:p>
      <w:pPr>
        <w:ind w:left="1200" w:right="20"/>
        <w:spacing w:after="0" w:line="263" w:lineRule="auto"/>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4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JEFFREY E. EBERWEIN</w:t>
      </w:r>
    </w:p>
    <w:p>
      <w:pPr>
        <w:spacing w:after="0" w:line="123" w:lineRule="exact"/>
        <w:rPr>
          <w:sz w:val="20"/>
          <w:szCs w:val="20"/>
          <w:color w:val="auto"/>
        </w:rPr>
      </w:pPr>
    </w:p>
    <w:p>
      <w:pPr>
        <w:ind w:left="2600"/>
        <w:spacing w:after="0"/>
        <w:tabs>
          <w:tab w:leader="none" w:pos="3440" w:val="left"/>
        </w:tabs>
        <w:rPr>
          <w:sz w:val="20"/>
          <w:szCs w:val="20"/>
          <w:color w:val="auto"/>
        </w:rPr>
      </w:pPr>
      <w:r>
        <w:rPr>
          <w:rFonts w:ascii="Times New Roman" w:cs="Times New Roman" w:eastAsia="Times New Roman" w:hAnsi="Times New Roman"/>
          <w:sz w:val="17"/>
          <w:szCs w:val="17"/>
          <w:color w:val="auto"/>
        </w:rPr>
        <w:t>Signature:</w:t>
      </w:r>
      <w:r>
        <w:rPr>
          <w:sz w:val="20"/>
          <w:szCs w:val="20"/>
          <w:color w:val="auto"/>
        </w:rPr>
        <w:tab/>
      </w:r>
      <w:r>
        <w:rPr>
          <w:rFonts w:ascii="Times New Roman" w:cs="Times New Roman" w:eastAsia="Times New Roman" w:hAnsi="Times New Roman"/>
          <w:sz w:val="16"/>
          <w:szCs w:val="16"/>
          <w:color w:val="auto"/>
        </w:rPr>
        <w:t>/s/ Jeffrey E. Eberwein</w:t>
      </w:r>
    </w:p>
    <w:p>
      <w:pPr>
        <w:spacing w:after="0" w:line="3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Name/Title: Jeffrey E. Eberwein</w:t>
      </w:r>
    </w:p>
    <w:p>
      <w:pPr>
        <w:spacing w:after="0" w:line="38" w:lineRule="exact"/>
        <w:rPr>
          <w:sz w:val="20"/>
          <w:szCs w:val="20"/>
          <w:color w:val="auto"/>
        </w:rPr>
      </w:pPr>
    </w:p>
    <w:p>
      <w:pPr>
        <w:ind w:left="2600"/>
        <w:spacing w:after="0"/>
        <w:tabs>
          <w:tab w:leader="none" w:pos="34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06/29/2026</w:t>
      </w:r>
    </w:p>
    <w:p>
      <w:pPr>
        <w:sectPr>
          <w:pgSz w:w="11900" w:h="16838" w:orient="portrait"/>
          <w:cols w:equalWidth="0" w:num="1">
            <w:col w:w="11280"/>
          </w:cols>
          <w:pgMar w:left="300" w:top="118" w:right="319" w:bottom="479" w:gutter="0" w:footer="0" w:header="0"/>
          <w:type w:val="continuous"/>
        </w:sectPr>
      </w:pPr>
    </w:p>
    <w:bookmarkStart w:id="2" w:name="page3"/>
    <w:bookmarkEnd w:id="2"/>
    <w:p>
      <w:pPr>
        <w:jc w:val="center"/>
        <w:ind w:right="-474"/>
        <w:spacing w:after="0"/>
        <w:rPr>
          <w:sz w:val="20"/>
          <w:szCs w:val="20"/>
          <w:color w:val="auto"/>
        </w:rPr>
      </w:pPr>
      <w:r>
        <w:rPr>
          <w:rFonts w:ascii="Times New Roman" w:cs="Times New Roman" w:eastAsia="Times New Roman" w:hAnsi="Times New Roman"/>
          <w:sz w:val="16"/>
          <w:szCs w:val="16"/>
          <w:b w:val="1"/>
          <w:bCs w:val="1"/>
          <w:u w:val="single" w:color="auto"/>
          <w:color w:val="auto"/>
        </w:rPr>
        <w:t>SCHEDULE A</w:t>
      </w:r>
    </w:p>
    <w:p>
      <w:pPr>
        <w:spacing w:after="0" w:line="21"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6"/>
          <w:szCs w:val="16"/>
          <w:b w:val="1"/>
          <w:bCs w:val="1"/>
          <w:u w:val="single" w:color="auto"/>
          <w:color w:val="auto"/>
        </w:rPr>
        <w:t>Transactions in the Securities of the Issuer in the Last 60 Days</w:t>
      </w:r>
    </w:p>
    <w:p>
      <w:pPr>
        <w:spacing w:after="0" w:line="197" w:lineRule="exact"/>
        <w:rPr>
          <w:sz w:val="20"/>
          <w:szCs w:val="20"/>
          <w:color w:val="auto"/>
        </w:rPr>
      </w:pPr>
    </w:p>
    <w:tbl>
      <w:tblPr>
        <w:tblLayout w:type="fixed"/>
        <w:tblInd w:w="1115" w:type="dxa"/>
        <w:tblCellMar>
          <w:top w:w="0" w:type="dxa"/>
          <w:left w:w="0" w:type="dxa"/>
          <w:bottom w:w="0" w:type="dxa"/>
          <w:right w:w="0" w:type="dxa"/>
        </w:tblCellMar>
      </w:tblPr>
      <w:tr>
        <w:trPr>
          <w:trHeight w:val="191"/>
        </w:trPr>
        <w:tc>
          <w:tcPr>
            <w:tcW w:w="3380" w:type="dxa"/>
            <w:vAlign w:val="bottom"/>
            <w:gridSpan w:val="3"/>
            <w:vMerge w:val="restart"/>
          </w:tcPr>
          <w:p>
            <w:pPr>
              <w:jc w:val="center"/>
              <w:ind w:right="1800"/>
              <w:spacing w:after="0"/>
              <w:rPr>
                <w:sz w:val="20"/>
                <w:szCs w:val="20"/>
                <w:color w:val="auto"/>
              </w:rPr>
            </w:pPr>
            <w:r>
              <w:rPr>
                <w:rFonts w:ascii="Times New Roman" w:cs="Times New Roman" w:eastAsia="Times New Roman" w:hAnsi="Times New Roman"/>
                <w:sz w:val="16"/>
                <w:szCs w:val="16"/>
                <w:color w:val="auto"/>
                <w:w w:val="96"/>
              </w:rPr>
              <w:t>Shares of Common Stock</w:t>
            </w:r>
          </w:p>
        </w:tc>
        <w:tc>
          <w:tcPr>
            <w:tcW w:w="860" w:type="dxa"/>
            <w:vAlign w:val="bottom"/>
          </w:tcPr>
          <w:p>
            <w:pPr>
              <w:spacing w:after="0"/>
              <w:rPr>
                <w:sz w:val="16"/>
                <w:szCs w:val="16"/>
                <w:color w:val="auto"/>
              </w:rPr>
            </w:pPr>
          </w:p>
        </w:tc>
        <w:tc>
          <w:tcPr>
            <w:tcW w:w="2500" w:type="dxa"/>
            <w:vAlign w:val="bottom"/>
            <w:gridSpan w:val="3"/>
          </w:tcPr>
          <w:p>
            <w:pPr>
              <w:jc w:val="center"/>
              <w:ind w:right="1920"/>
              <w:spacing w:after="0"/>
              <w:rPr>
                <w:sz w:val="20"/>
                <w:szCs w:val="20"/>
                <w:color w:val="auto"/>
              </w:rPr>
            </w:pPr>
            <w:r>
              <w:rPr>
                <w:rFonts w:ascii="Times New Roman" w:cs="Times New Roman" w:eastAsia="Times New Roman" w:hAnsi="Times New Roman"/>
                <w:sz w:val="16"/>
                <w:szCs w:val="16"/>
                <w:color w:val="auto"/>
                <w:w w:val="99"/>
              </w:rPr>
              <w:t>Price Per</w:t>
            </w:r>
          </w:p>
        </w:tc>
        <w:tc>
          <w:tcPr>
            <w:tcW w:w="104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Date of</w:t>
            </w:r>
          </w:p>
        </w:tc>
        <w:tc>
          <w:tcPr>
            <w:tcW w:w="0" w:type="dxa"/>
            <w:vAlign w:val="bottom"/>
          </w:tcPr>
          <w:p>
            <w:pPr>
              <w:spacing w:after="0"/>
              <w:rPr>
                <w:sz w:val="1"/>
                <w:szCs w:val="1"/>
                <w:color w:val="auto"/>
              </w:rPr>
            </w:pPr>
          </w:p>
        </w:tc>
      </w:tr>
      <w:tr>
        <w:trPr>
          <w:trHeight w:val="21"/>
        </w:trPr>
        <w:tc>
          <w:tcPr>
            <w:tcW w:w="3380" w:type="dxa"/>
            <w:vAlign w:val="bottom"/>
            <w:gridSpan w:val="3"/>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vMerge w:val="restart"/>
          </w:tcPr>
          <w:p>
            <w:pPr>
              <w:jc w:val="center"/>
              <w:spacing w:after="0" w:line="148" w:lineRule="exact"/>
              <w:rPr>
                <w:sz w:val="20"/>
                <w:szCs w:val="20"/>
                <w:color w:val="auto"/>
              </w:rPr>
            </w:pPr>
            <w:r>
              <w:rPr>
                <w:rFonts w:ascii="Times New Roman" w:cs="Times New Roman" w:eastAsia="Times New Roman" w:hAnsi="Times New Roman"/>
                <w:sz w:val="16"/>
                <w:szCs w:val="16"/>
                <w:color w:val="auto"/>
                <w:w w:val="98"/>
              </w:rPr>
              <w:t xml:space="preserve">Share </w:t>
            </w: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w:t>
            </w: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80" w:type="dxa"/>
            <w:vAlign w:val="bottom"/>
            <w:gridSpan w:val="3"/>
          </w:tcPr>
          <w:p>
            <w:pPr>
              <w:jc w:val="center"/>
              <w:ind w:right="1800"/>
              <w:spacing w:after="0" w:line="137" w:lineRule="exact"/>
              <w:rPr>
                <w:sz w:val="20"/>
                <w:szCs w:val="20"/>
                <w:color w:val="auto"/>
              </w:rPr>
            </w:pPr>
            <w:r>
              <w:rPr>
                <w:rFonts w:ascii="Times New Roman" w:cs="Times New Roman" w:eastAsia="Times New Roman" w:hAnsi="Times New Roman"/>
                <w:sz w:val="14"/>
                <w:szCs w:val="14"/>
                <w:color w:val="auto"/>
              </w:rPr>
              <w:t>Purchased/(Sold)</w:t>
            </w:r>
          </w:p>
        </w:tc>
        <w:tc>
          <w:tcPr>
            <w:tcW w:w="8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0" w:type="dxa"/>
            <w:vAlign w:val="bottom"/>
            <w:gridSpan w:val="2"/>
          </w:tcPr>
          <w:p>
            <w:pPr>
              <w:jc w:val="center"/>
              <w:ind w:left="963"/>
              <w:spacing w:after="0" w:line="137" w:lineRule="exact"/>
              <w:rPr>
                <w:sz w:val="20"/>
                <w:szCs w:val="20"/>
                <w:color w:val="auto"/>
              </w:rPr>
            </w:pPr>
            <w:r>
              <w:rPr>
                <w:rFonts w:ascii="Times New Roman" w:cs="Times New Roman" w:eastAsia="Times New Roman" w:hAnsi="Times New Roman"/>
                <w:sz w:val="14"/>
                <w:szCs w:val="14"/>
                <w:color w:val="auto"/>
              </w:rPr>
              <w:t>Purchase / Sale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60" w:type="dxa"/>
            <w:vAlign w:val="bottom"/>
            <w:gridSpan w:val="4"/>
            <w:vMerge w:val="restart"/>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w w:val="96"/>
              </w:rPr>
              <w:t>STAR EQUITY HOLDINGS, INC</w:t>
            </w:r>
          </w:p>
        </w:tc>
        <w:tc>
          <w:tcPr>
            <w:tcW w:w="1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8"/>
        </w:trPr>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6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4,881</w:t>
            </w:r>
          </w:p>
        </w:tc>
        <w:tc>
          <w:tcPr>
            <w:tcW w:w="2060" w:type="dxa"/>
            <w:vAlign w:val="bottom"/>
          </w:tcPr>
          <w:p>
            <w:pPr>
              <w:spacing w:after="0"/>
              <w:rPr>
                <w:sz w:val="24"/>
                <w:szCs w:val="24"/>
                <w:color w:val="auto"/>
              </w:rPr>
            </w:pPr>
          </w:p>
        </w:tc>
        <w:tc>
          <w:tcPr>
            <w:tcW w:w="1440" w:type="dxa"/>
            <w:vAlign w:val="bottom"/>
            <w:tcBorders>
              <w:top w:val="single" w:sz="8" w:color="auto"/>
            </w:tcBorders>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$11.61</w:t>
            </w:r>
          </w:p>
        </w:tc>
        <w:tc>
          <w:tcPr>
            <w:tcW w:w="86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6/2/2026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1"/>
              </w:rPr>
              <w:t>101</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$11.51</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6/3/2026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1,430</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$11.51</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6/4/2026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3,443</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$11.51</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6/5/2026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5"/>
              </w:rPr>
              <w:t>10,000</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$11.45</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6/8/2026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2,849</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$11.23</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6/9/2026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1,884</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$10.89</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6/10/2026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74"/>
              </w:rPr>
              <w:t>6</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$11.01</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6/15/2026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4,994</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$11.21</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6/16/2026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1"/>
              </w:rPr>
              <w:t>234</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$11.01</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6/18/2026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4,766</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$11.16</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6/22/2026</w:t>
            </w:r>
          </w:p>
        </w:tc>
        <w:tc>
          <w:tcPr>
            <w:tcW w:w="0" w:type="dxa"/>
            <w:vAlign w:val="bottom"/>
          </w:tcPr>
          <w:p>
            <w:pPr>
              <w:spacing w:after="0"/>
              <w:rPr>
                <w:sz w:val="1"/>
                <w:szCs w:val="1"/>
                <w:color w:val="auto"/>
              </w:rPr>
            </w:pPr>
          </w:p>
        </w:tc>
      </w:tr>
      <w:tr>
        <w:trPr>
          <w:trHeight w:val="202"/>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5,000</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$11.01</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6/25/2026</w:t>
            </w: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left="183"/>
              <w:spacing w:after="0"/>
              <w:rPr>
                <w:sz w:val="20"/>
                <w:szCs w:val="20"/>
                <w:color w:val="auto"/>
              </w:rPr>
            </w:pPr>
            <w:r>
              <w:rPr>
                <w:rFonts w:ascii="Times New Roman" w:cs="Times New Roman" w:eastAsia="Times New Roman" w:hAnsi="Times New Roman"/>
                <w:sz w:val="16"/>
                <w:szCs w:val="16"/>
                <w:color w:val="auto"/>
                <w:w w:val="94"/>
              </w:rPr>
              <w:t>5,000</w:t>
            </w:r>
          </w:p>
        </w:tc>
        <w:tc>
          <w:tcPr>
            <w:tcW w:w="2060" w:type="dxa"/>
            <w:vAlign w:val="bottom"/>
          </w:tcPr>
          <w:p>
            <w:pPr>
              <w:spacing w:after="0"/>
              <w:rPr>
                <w:sz w:val="17"/>
                <w:szCs w:val="17"/>
                <w:color w:val="auto"/>
              </w:rPr>
            </w:pPr>
          </w:p>
        </w:tc>
        <w:tc>
          <w:tcPr>
            <w:tcW w:w="1440" w:type="dxa"/>
            <w:vAlign w:val="bottom"/>
            <w:gridSpan w:val="2"/>
          </w:tcPr>
          <w:p>
            <w:pPr>
              <w:jc w:val="center"/>
              <w:ind w:left="782"/>
              <w:spacing w:after="0"/>
              <w:rPr>
                <w:sz w:val="20"/>
                <w:szCs w:val="20"/>
                <w:color w:val="auto"/>
              </w:rPr>
            </w:pPr>
            <w:r>
              <w:rPr>
                <w:rFonts w:ascii="Times New Roman" w:cs="Times New Roman" w:eastAsia="Times New Roman" w:hAnsi="Times New Roman"/>
                <w:sz w:val="16"/>
                <w:szCs w:val="16"/>
                <w:color w:val="auto"/>
                <w:w w:val="95"/>
              </w:rPr>
              <w:t>$11.01</w:t>
            </w: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gridSpan w:val="2"/>
          </w:tcPr>
          <w:p>
            <w:pPr>
              <w:jc w:val="center"/>
              <w:ind w:left="963"/>
              <w:spacing w:after="0"/>
              <w:rPr>
                <w:sz w:val="20"/>
                <w:szCs w:val="20"/>
                <w:color w:val="auto"/>
              </w:rPr>
            </w:pPr>
            <w:r>
              <w:rPr>
                <w:rFonts w:ascii="Times New Roman" w:cs="Times New Roman" w:eastAsia="Times New Roman" w:hAnsi="Times New Roman"/>
                <w:sz w:val="16"/>
                <w:szCs w:val="16"/>
                <w:color w:val="auto"/>
                <w:w w:val="98"/>
              </w:rPr>
              <w:t>6/29/2026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5" w:firstLine="5"/>
        <w:spacing w:after="0" w:line="272" w:lineRule="auto"/>
        <w:tabs>
          <w:tab w:leader="none" w:pos="125"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prices reported in this column are weighted average prices. The Reporting Person undertakes to provide the Issuer and any security holder of the Issuer, or the staff of the Securities and Exchange Commission, upon request, full information regarding the number of shares purchased (or sold) at each separate price such shares were purchased.</w:t>
      </w:r>
    </w:p>
    <w:p>
      <w:pPr>
        <w:sectPr>
          <w:pgSz w:w="11900" w:h="16838" w:orient="portrait"/>
          <w:cols w:equalWidth="0" w:num="1">
            <w:col w:w="10795"/>
          </w:cols>
          <w:pgMar w:left="305" w:top="1137" w:right="799" w:bottom="1440" w:gutter="0" w:footer="0" w:header="0"/>
        </w:sectPr>
      </w:pPr>
    </w:p>
    <w:bookmarkStart w:id="3" w:name="page4"/>
    <w:bookmarkEnd w:id="3"/>
    <w:p>
      <w:pPr>
        <w:spacing w:after="0" w:line="272" w:lineRule="auto"/>
        <w:tabs>
          <w:tab w:leader="none" w:pos="1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72" w:lineRule="auto"/>
        <w:tabs>
          <w:tab w:leader="none" w:pos="1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72" w:lineRule="auto"/>
        <w:tabs>
          <w:tab w:leader="none" w:pos="1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72" w:lineRule="auto"/>
        <w:tabs>
          <w:tab w:leader="none" w:pos="1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94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559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72" w:lineRule="auto"/>
        <w:tabs>
          <w:tab w:leader="none" w:pos="1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72" w:lineRule="auto"/>
        <w:tabs>
          <w:tab w:leader="none" w:pos="1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2" w:lineRule="auto"/>
        <w:tabs>
          <w:tab w:leader="none" w:pos="12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7023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7023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2026-06-29T17:56:49Z</dcterms:created>
  <dcterms:modified xsi:type="dcterms:W3CDTF">2026-06-29T17:56:49Z</dcterms:modified>
</cp:coreProperties>
</file>