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 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ind w:left="0" w:right="0" w:firstLine="450"/>
        <w:jc w:val="left"/>
        <w:rPr>
          <w:color w:val="000000"/>
        </w:rPr>
      </w:pPr>
      <w:r>
        <w:rPr>
          <w:color w:val="000000"/>
        </w:rPr>
        <w:t> </w:t>
      </w: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120"/>
        <w:ind w:left="0" w:right="0" w:firstLine="720"/>
        <w:jc w:val="left"/>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0"/>
        <w:jc w:val="center"/>
        <w:rPr/>
      </w:pPr>
      <w:r>
        <w:rPr>
          <w:rFonts w:ascii="Times New Roman;serif" w:hAnsi="Times New Roman;serif"/>
          <w:b/>
          <w:color w:val="000000"/>
          <w:sz w:val="20"/>
        </w:rPr>
        <w:t>Commission file number: 001-38704</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61" w:type="dxa"/>
        <w:jc w:val="center"/>
        <w:tblInd w:w="0" w:type="dxa"/>
        <w:tblLayout w:type="fixed"/>
        <w:tblCellMar>
          <w:top w:w="28" w:type="dxa"/>
          <w:left w:w="28" w:type="dxa"/>
          <w:bottom w:w="28" w:type="dxa"/>
          <w:right w:w="28" w:type="dxa"/>
        </w:tblCellMar>
      </w:tblPr>
      <w:tblGrid>
        <w:gridCol w:w="1892"/>
        <w:gridCol w:w="1663"/>
        <w:gridCol w:w="1679"/>
        <w:gridCol w:w="109"/>
        <w:gridCol w:w="109"/>
        <w:gridCol w:w="109"/>
        <w:gridCol w:w="876"/>
        <w:gridCol w:w="876"/>
        <w:gridCol w:w="1248"/>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59-3547281</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 Forest Avenue, Suite 101, Old Greenwich, CT 06870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(203) 489-9500</w:t>
      </w:r>
    </w:p>
    <w:p>
      <w:pPr>
        <w:pStyle w:val="TextBody"/>
        <w:bidi w:val="0"/>
        <w:spacing w:lineRule="auto" w:line="288" w:before="0" w:after="0"/>
        <w:jc w:val="center"/>
        <w:rPr/>
      </w:pPr>
      <w:r>
        <w:rPr>
          <w:rFonts w:ascii="Times New Roman;serif" w:hAnsi="Times New Roman;serif"/>
          <w:b/>
          <w:color w:val="000000"/>
          <w:sz w:val="18"/>
        </w:rPr>
        <w:t>(Registrant’s telephone number, including area code)</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Securities registered pursuant to Section 12(b) of the Act:</w:t>
      </w:r>
    </w:p>
    <w:tbl>
      <w:tblPr>
        <w:tblW w:w="8466" w:type="dxa"/>
        <w:jc w:val="center"/>
        <w:tblInd w:w="0" w:type="dxa"/>
        <w:tblLayout w:type="fixed"/>
        <w:tblCellMar>
          <w:top w:w="28" w:type="dxa"/>
          <w:left w:w="28" w:type="dxa"/>
          <w:bottom w:w="28" w:type="dxa"/>
          <w:right w:w="28" w:type="dxa"/>
        </w:tblCellMar>
      </w:tblPr>
      <w:tblGrid>
        <w:gridCol w:w="1166"/>
        <w:gridCol w:w="1022"/>
        <w:gridCol w:w="1036"/>
        <w:gridCol w:w="109"/>
        <w:gridCol w:w="109"/>
        <w:gridCol w:w="109"/>
        <w:gridCol w:w="424"/>
        <w:gridCol w:w="424"/>
        <w:gridCol w:w="426"/>
        <w:gridCol w:w="109"/>
        <w:gridCol w:w="109"/>
        <w:gridCol w:w="109"/>
        <w:gridCol w:w="970"/>
        <w:gridCol w:w="970"/>
        <w:gridCol w:w="1374"/>
      </w:tblGrid>
      <w:tr>
        <w:trPr/>
        <w:tc>
          <w:tcPr>
            <w:tcW w:w="11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Name of each exchange on which registered</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The NASDAQ Stock Market LLC</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Series A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STRRP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The NASDAQ Stock Market LLC</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definition of </w:t>
      </w:r>
      <w:r>
        <w:rPr>
          <w:color w:val="000000"/>
        </w:rPr>
        <w:t>“</w:t>
      </w:r>
      <w:r>
        <w:rPr>
          <w:rFonts w:ascii="Times New Roman;serif" w:hAnsi="Times New Roman;serif"/>
          <w:b w:val="false"/>
          <w:color w:val="000000"/>
          <w:sz w:val="18"/>
        </w:rPr>
        <w:t>large accelerated filer</w:t>
      </w:r>
      <w:r>
        <w:rPr>
          <w:color w:val="000000"/>
        </w:rPr>
        <w:t>”</w:t>
      </w:r>
      <w:r>
        <w:rPr>
          <w:rFonts w:ascii="Times New Roman;serif" w:hAnsi="Times New Roman;serif"/>
          <w:b w:val="false"/>
          <w:color w:val="000000"/>
          <w:sz w:val="18"/>
        </w:rPr>
        <w:t xml:space="preserve">, </w:t>
      </w:r>
      <w:r>
        <w:rPr>
          <w:color w:val="000000"/>
        </w:rPr>
        <w:t>“</w:t>
      </w:r>
      <w:r>
        <w:rPr>
          <w:rFonts w:ascii="Times New Roman;serif" w:hAnsi="Times New Roman;serif"/>
          <w:b w:val="false"/>
          <w:color w:val="000000"/>
          <w:sz w:val="18"/>
        </w:rPr>
        <w:t>accelerated filer</w:t>
      </w:r>
      <w:r>
        <w:rPr>
          <w:color w:val="000000"/>
        </w:rPr>
        <w:t>”</w:t>
      </w:r>
      <w:r>
        <w:rPr>
          <w:rFonts w:ascii="Times New Roman;serif" w:hAnsi="Times New Roman;serif"/>
          <w:b w:val="false"/>
          <w:color w:val="000000"/>
          <w:sz w:val="18"/>
        </w:rPr>
        <w:t xml:space="preserve">, </w:t>
      </w:r>
      <w:r>
        <w:rPr>
          <w:color w:val="000000"/>
        </w:rPr>
        <w:t>“</w:t>
      </w:r>
      <w:r>
        <w:rPr>
          <w:rFonts w:ascii="Times New Roman;serif" w:hAnsi="Times New Roman;serif"/>
          <w:b w:val="false"/>
          <w:color w:val="000000"/>
          <w:sz w:val="18"/>
        </w:rPr>
        <w:t>smaller reporting company</w:t>
      </w:r>
      <w:r>
        <w:rPr>
          <w:color w:val="000000"/>
        </w:rPr>
        <w:t xml:space="preserve">” </w:t>
      </w:r>
      <w:r>
        <w:rPr>
          <w:rFonts w:ascii="Times New Roman;serif" w:hAnsi="Times New Roman;serif"/>
          <w:b w:val="false"/>
          <w:color w:val="000000"/>
          <w:sz w:val="18"/>
        </w:rPr>
        <w:t xml:space="preserve">and </w:t>
      </w:r>
      <w:r>
        <w:rPr>
          <w:color w:val="000000"/>
        </w:rPr>
        <w:t>“</w:t>
      </w:r>
      <w:r>
        <w:rPr>
          <w:rFonts w:ascii="Times New Roman;serif" w:hAnsi="Times New Roman;serif"/>
          <w:b w:val="false"/>
          <w:color w:val="000000"/>
          <w:sz w:val="18"/>
        </w:rPr>
        <w:t>emerging growth company</w:t>
      </w:r>
      <w:r>
        <w:rPr>
          <w:color w:val="000000"/>
        </w:rPr>
        <w:t xml:space="preserve">” </w:t>
      </w:r>
      <w:r>
        <w:rPr>
          <w:rFonts w:ascii="Times New Roman;serif" w:hAnsi="Times New Roman;serif"/>
          <w:b w:val="false"/>
          <w:color w:val="000000"/>
          <w:sz w:val="18"/>
        </w:rPr>
        <w:t>in Rule 12b-2 of the Exchange Act. </w:t>
      </w:r>
    </w:p>
    <w:tbl>
      <w:tblPr>
        <w:tblW w:w="473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8"/>
        <w:gridCol w:w="678"/>
        <w:gridCol w:w="683"/>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color w:val="000000"/>
        </w:rPr>
        <w:t> </w:t>
      </w: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ind w:left="0" w:right="0" w:firstLine="450"/>
        <w:jc w:val="left"/>
        <w:rPr/>
      </w:pPr>
      <w:r>
        <w:rPr>
          <w:rFonts w:ascii="Times New Roman;serif" w:hAnsi="Times New Roman;serif"/>
          <w:b w:val="false"/>
          <w:color w:val="000000"/>
          <w:sz w:val="18"/>
        </w:rPr>
        <w:t>Indicate by checkmark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5305" w:type="dxa"/>
        <w:jc w:val="left"/>
        <w:tblInd w:w="0" w:type="dxa"/>
        <w:tblLayout w:type="fixed"/>
        <w:tblCellMar>
          <w:top w:w="28" w:type="dxa"/>
          <w:left w:w="28" w:type="dxa"/>
          <w:bottom w:w="28" w:type="dxa"/>
          <w:right w:w="28" w:type="dxa"/>
        </w:tblCellMar>
      </w:tblPr>
      <w:tblGrid>
        <w:gridCol w:w="926"/>
        <w:gridCol w:w="814"/>
        <w:gridCol w:w="824"/>
        <w:gridCol w:w="109"/>
        <w:gridCol w:w="109"/>
        <w:gridCol w:w="109"/>
        <w:gridCol w:w="705"/>
        <w:gridCol w:w="705"/>
        <w:gridCol w:w="100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on July 31, 2026</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3,689,403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7"/>
        <w:gridCol w:w="270"/>
        <w:gridCol w:w="2929"/>
        <w:gridCol w:w="2929"/>
        <w:gridCol w:w="2934"/>
        <w:gridCol w:w="167"/>
        <w:gridCol w:w="167"/>
        <w:gridCol w:w="2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0">
              <w:r>
                <w:rPr>
                  <w:rStyle w:val="InternetLink"/>
                  <w:rFonts w:ascii="Times New Roman;serif" w:hAnsi="Times New Roman;serif"/>
                  <w:b/>
                  <w:color w:val="0000FF"/>
                  <w:sz w:val="20"/>
                  <w:u w:val="single"/>
                </w:rPr>
                <w:t>PART I – FINANCIAL INFORMATION</w:t>
              </w:r>
            </w:hyperlink>
          </w:p>
        </w:tc>
        <w:tc>
          <w:tcPr>
            <w:tcW w:w="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3">
              <w:r>
                <w:rPr>
                  <w:rStyle w:val="InternetLink"/>
                  <w:rFonts w:ascii="Times New Roman;serif" w:hAnsi="Times New Roman;serif"/>
                  <w:b/>
                  <w:color w:val="0000FF"/>
                  <w:sz w:val="20"/>
                  <w:u w:val="single"/>
                </w:rPr>
                <w:t>Financial Statements (Unaudited)</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b2f44d3d18444cbc84f10d8b5054b527_16">
              <w:r>
                <w:rPr>
                  <w:rStyle w:val="InternetLink"/>
                  <w:rFonts w:ascii="Times New Roman;serif" w:hAnsi="Times New Roman;serif"/>
                  <w:b w:val="false"/>
                  <w:color w:val="0000FF"/>
                  <w:sz w:val="20"/>
                  <w:u w:val="single"/>
                </w:rPr>
                <w:t>Condensed Consolidated Statements of Operations - Three and Six Months Ended June 30, 2026 and 2025</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6">
              <w:r>
                <w:rPr>
                  <w:rStyle w:val="InternetLink"/>
                  <w:rFonts w:ascii="Times New Roman;serif" w:hAnsi="Times New Roman;serif"/>
                  <w:b w:val="false"/>
                  <w:color w:val="0000FF"/>
                  <w:sz w:val="20"/>
                  <w:u w:val="single"/>
                </w:rPr>
                <w:t>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b2f44d3d18444cbc84f10d8b5054b527_19">
              <w:r>
                <w:rPr>
                  <w:rStyle w:val="InternetLink"/>
                  <w:rFonts w:ascii="Times New Roman;serif" w:hAnsi="Times New Roman;serif"/>
                  <w:b w:val="false"/>
                  <w:color w:val="0000FF"/>
                  <w:sz w:val="20"/>
                  <w:u w:val="single"/>
                </w:rPr>
                <w:t>Condensed Consolidated Statements of Other Comprehensive Income (Loss) - Three and Six Months Ended June 30, 2026 and 2025</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9">
              <w:r>
                <w:rPr>
                  <w:rStyle w:val="InternetLink"/>
                  <w:rFonts w:ascii="Times New Roman;serif" w:hAnsi="Times New Roman;serif"/>
                  <w:b w:val="false"/>
                  <w:color w:val="0000FF"/>
                  <w:sz w:val="20"/>
                  <w:u w:val="single"/>
                </w:rPr>
                <w:t>2</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b2f44d3d18444cbc84f10d8b5054b527_22">
              <w:r>
                <w:rPr>
                  <w:rStyle w:val="InternetLink"/>
                  <w:rFonts w:ascii="Times New Roman;serif" w:hAnsi="Times New Roman;serif"/>
                  <w:b w:val="false"/>
                  <w:color w:val="0000FF"/>
                  <w:sz w:val="20"/>
                  <w:u w:val="single"/>
                </w:rPr>
                <w:t>Condensed Consolidated Balance Sheets – June 30, 2026 and December 31, 2025</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22">
              <w:r>
                <w:rPr>
                  <w:rStyle w:val="InternetLink"/>
                  <w:rFonts w:ascii="Times New Roman;serif" w:hAnsi="Times New Roman;serif"/>
                  <w:b w:val="false"/>
                  <w:color w:val="0000FF"/>
                  <w:sz w:val="20"/>
                  <w:u w:val="single"/>
                </w:rPr>
                <w:t>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b2f44d3d18444cbc84f10d8b5054b527_25">
              <w:r>
                <w:rPr>
                  <w:rStyle w:val="InternetLink"/>
                  <w:rFonts w:ascii="Times New Roman;serif" w:hAnsi="Times New Roman;serif"/>
                  <w:b w:val="false"/>
                  <w:color w:val="0000FF"/>
                  <w:sz w:val="20"/>
                  <w:u w:val="single"/>
                </w:rPr>
                <w:t>Condensed Consolidated Statements of Cash Flows - Six Months Ended June 30, 2026 and 2025</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25">
              <w:r>
                <w:rPr>
                  <w:rStyle w:val="InternetLink"/>
                  <w:rFonts w:ascii="Times New Roman;serif" w:hAnsi="Times New Roman;serif"/>
                  <w:b w:val="false"/>
                  <w:color w:val="0000FF"/>
                  <w:sz w:val="20"/>
                  <w:u w:val="single"/>
                </w:rPr>
                <w:t>4</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b2f44d3d18444cbc84f10d8b5054b527_28">
              <w:r>
                <w:rPr>
                  <w:rStyle w:val="InternetLink"/>
                  <w:rFonts w:ascii="Times New Roman;serif" w:hAnsi="Times New Roman;serif"/>
                  <w:b w:val="false"/>
                  <w:color w:val="0000FF"/>
                  <w:sz w:val="20"/>
                  <w:u w:val="single"/>
                </w:rPr>
                <w:t>Condensed Consolidated Statements of Stockholders’ Equity – Three and Six Months Ended June 30, 2026 and 2025</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28">
              <w:r>
                <w:rPr>
                  <w:rStyle w:val="InternetLink"/>
                  <w:rFonts w:ascii="Times New Roman;serif" w:hAnsi="Times New Roman;serif"/>
                  <w:b w:val="false"/>
                  <w:color w:val="0000FF"/>
                  <w:sz w:val="20"/>
                  <w:u w:val="single"/>
                </w:rPr>
                <w:t>5</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b2f44d3d18444cbc84f10d8b5054b527_31">
              <w:r>
                <w:rPr>
                  <w:rStyle w:val="InternetLink"/>
                  <w:rFonts w:ascii="Times New Roman;serif" w:hAnsi="Times New Roman;serif"/>
                  <w:b w:val="false"/>
                  <w:color w:val="0000FF"/>
                  <w:sz w:val="20"/>
                  <w:u w:val="single"/>
                </w:rPr>
                <w:t>Notes to Condensed Consolidated Financial Statements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31">
              <w:r>
                <w:rPr>
                  <w:rStyle w:val="InternetLink"/>
                  <w:rFonts w:ascii="Times New Roman;serif" w:hAnsi="Times New Roman;serif"/>
                  <w:b w:val="false"/>
                  <w:color w:val="0000FF"/>
                  <w:sz w:val="20"/>
                  <w:u w:val="single"/>
                </w:rPr>
                <w:t>6</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09">
              <w:r>
                <w:rPr>
                  <w:rStyle w:val="InternetLink"/>
                  <w:rFonts w:ascii="Times New Roman;serif" w:hAnsi="Times New Roman;serif"/>
                  <w:b/>
                  <w:color w:val="0000FF"/>
                  <w:sz w:val="20"/>
                  <w:u w:val="single"/>
                </w:rPr>
                <w:t>Management’s Discussion and Analysis of Financial Condition and Results of Operations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09">
              <w:r>
                <w:rPr>
                  <w:rStyle w:val="InternetLink"/>
                  <w:rFonts w:ascii="Times New Roman;serif" w:hAnsi="Times New Roman;serif"/>
                  <w:b w:val="false"/>
                  <w:color w:val="0000FF"/>
                  <w:sz w:val="20"/>
                  <w:u w:val="single"/>
                </w:rPr>
                <w:t>42</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30">
              <w:r>
                <w:rPr>
                  <w:rStyle w:val="InternetLink"/>
                  <w:rFonts w:ascii="Times New Roman;serif" w:hAnsi="Times New Roman;serif"/>
                  <w:b/>
                  <w:color w:val="0000FF"/>
                  <w:sz w:val="20"/>
                  <w:u w:val="single"/>
                </w:rPr>
                <w:t>Quantitative and Qualitative Disclosures about Market Risk</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30">
              <w:r>
                <w:rPr>
                  <w:rStyle w:val="InternetLink"/>
                  <w:rFonts w:ascii="Times New Roman;serif" w:hAnsi="Times New Roman;serif"/>
                  <w:b w:val="false"/>
                  <w:color w:val="0000FF"/>
                  <w:sz w:val="20"/>
                  <w:u w:val="single"/>
                </w:rPr>
                <w:t>59</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33">
              <w:r>
                <w:rPr>
                  <w:rStyle w:val="InternetLink"/>
                  <w:rFonts w:ascii="Times New Roman;serif" w:hAnsi="Times New Roman;serif"/>
                  <w:b/>
                  <w:color w:val="0000FF"/>
                  <w:sz w:val="20"/>
                  <w:u w:val="single"/>
                </w:rPr>
                <w:t>Controls and Procedures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33">
              <w:r>
                <w:rPr>
                  <w:rStyle w:val="InternetLink"/>
                  <w:rFonts w:ascii="Times New Roman;serif" w:hAnsi="Times New Roman;serif"/>
                  <w:b w:val="false"/>
                  <w:color w:val="0000FF"/>
                  <w:sz w:val="20"/>
                  <w:u w:val="single"/>
                </w:rPr>
                <w:t>59</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36">
              <w:r>
                <w:rPr>
                  <w:rStyle w:val="InternetLink"/>
                  <w:rFonts w:ascii="Times New Roman;serif" w:hAnsi="Times New Roman;serif"/>
                  <w:b/>
                  <w:color w:val="0000FF"/>
                  <w:sz w:val="20"/>
                  <w:u w:val="single"/>
                </w:rPr>
                <w:t>PART II – OTHER INFORMATION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39">
              <w:r>
                <w:rPr>
                  <w:rStyle w:val="InternetLink"/>
                  <w:rFonts w:ascii="Times New Roman;serif" w:hAnsi="Times New Roman;serif"/>
                  <w:b/>
                  <w:color w:val="0000FF"/>
                  <w:sz w:val="20"/>
                  <w:u w:val="single"/>
                </w:rPr>
                <w:t>Legal Proceedings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39">
              <w:r>
                <w:rPr>
                  <w:rStyle w:val="InternetLink"/>
                  <w:rFonts w:ascii="Times New Roman;serif" w:hAnsi="Times New Roman;serif"/>
                  <w:b w:val="false"/>
                  <w:color w:val="0000FF"/>
                  <w:sz w:val="20"/>
                  <w:u w:val="single"/>
                </w:rPr>
                <w:t>60</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42">
              <w:r>
                <w:rPr>
                  <w:rStyle w:val="InternetLink"/>
                  <w:rFonts w:ascii="Times New Roman;serif" w:hAnsi="Times New Roman;serif"/>
                  <w:b/>
                  <w:color w:val="0000FF"/>
                  <w:sz w:val="20"/>
                  <w:u w:val="single"/>
                </w:rPr>
                <w:t>Risk Factors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42">
              <w:r>
                <w:rPr>
                  <w:rStyle w:val="InternetLink"/>
                  <w:rFonts w:ascii="Times New Roman;serif" w:hAnsi="Times New Roman;serif"/>
                  <w:b w:val="false"/>
                  <w:color w:val="0000FF"/>
                  <w:sz w:val="20"/>
                  <w:u w:val="single"/>
                </w:rPr>
                <w:t>60</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45">
              <w:r>
                <w:rPr>
                  <w:rStyle w:val="InternetLink"/>
                  <w:rFonts w:ascii="Times New Roman;serif" w:hAnsi="Times New Roman;serif"/>
                  <w:b/>
                  <w:color w:val="0000FF"/>
                  <w:sz w:val="20"/>
                  <w:u w:val="single"/>
                </w:rPr>
                <w:t>Unregistered Sales of Equity Securities and Use of Proceeds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45">
              <w:r>
                <w:rPr>
                  <w:rStyle w:val="InternetLink"/>
                  <w:rFonts w:ascii="Times New Roman;serif" w:hAnsi="Times New Roman;serif"/>
                  <w:b w:val="false"/>
                  <w:color w:val="0000FF"/>
                  <w:sz w:val="20"/>
                  <w:u w:val="single"/>
                </w:rPr>
                <w:t>60</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48">
              <w:r>
                <w:rPr>
                  <w:rStyle w:val="InternetLink"/>
                  <w:rFonts w:ascii="Times New Roman;serif" w:hAnsi="Times New Roman;serif"/>
                  <w:b/>
                  <w:color w:val="0000FF"/>
                  <w:sz w:val="20"/>
                  <w:u w:val="single"/>
                </w:rPr>
                <w:t>Defaults Upon Senior Securities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48">
              <w:r>
                <w:rPr>
                  <w:rStyle w:val="InternetLink"/>
                  <w:rFonts w:ascii="Times New Roman;serif" w:hAnsi="Times New Roman;serif"/>
                  <w:b w:val="false"/>
                  <w:color w:val="0000FF"/>
                  <w:sz w:val="20"/>
                  <w:u w:val="single"/>
                </w:rPr>
                <w:t>61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51">
              <w:r>
                <w:rPr>
                  <w:rStyle w:val="InternetLink"/>
                  <w:rFonts w:ascii="Times New Roman;serif" w:hAnsi="Times New Roman;serif"/>
                  <w:b/>
                  <w:color w:val="0000FF"/>
                  <w:sz w:val="20"/>
                  <w:u w:val="single"/>
                </w:rPr>
                <w:t>Mine Safety Disclosures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51">
              <w:r>
                <w:rPr>
                  <w:rStyle w:val="InternetLink"/>
                  <w:rFonts w:ascii="Times New Roman;serif" w:hAnsi="Times New Roman;serif"/>
                  <w:b w:val="false"/>
                  <w:color w:val="0000FF"/>
                  <w:sz w:val="20"/>
                  <w:u w:val="single"/>
                </w:rPr>
                <w:t>61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w:t>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Other Information</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54">
              <w:r>
                <w:rPr>
                  <w:rStyle w:val="InternetLink"/>
                  <w:rFonts w:ascii="Times New Roman;serif" w:hAnsi="Times New Roman;serif"/>
                  <w:b w:val="false"/>
                  <w:color w:val="0000FF"/>
                  <w:sz w:val="20"/>
                  <w:u w:val="single"/>
                </w:rPr>
                <w:t>61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57">
              <w:r>
                <w:rPr>
                  <w:rStyle w:val="InternetLink"/>
                  <w:rFonts w:ascii="Times New Roman;serif" w:hAnsi="Times New Roman;serif"/>
                  <w:b/>
                  <w:color w:val="0000FF"/>
                  <w:sz w:val="20"/>
                  <w:u w:val="single"/>
                </w:rPr>
                <w:t>Exhibits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57">
              <w:r>
                <w:rPr>
                  <w:rStyle w:val="InternetLink"/>
                  <w:rFonts w:ascii="Times New Roman;serif" w:hAnsi="Times New Roman;serif"/>
                  <w:b w:val="false"/>
                  <w:color w:val="0000FF"/>
                  <w:sz w:val="20"/>
                  <w:u w:val="single"/>
                </w:rPr>
                <w:t>61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60">
              <w:r>
                <w:rPr>
                  <w:rStyle w:val="InternetLink"/>
                  <w:rFonts w:ascii="Times New Roman;serif" w:hAnsi="Times New Roman;serif"/>
                  <w:b/>
                  <w:color w:val="0000FF"/>
                  <w:sz w:val="20"/>
                  <w:u w:val="single"/>
                </w:rPr>
                <w:t>Exhibit Index</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60">
              <w:r>
                <w:rPr>
                  <w:rStyle w:val="InternetLink"/>
                  <w:rFonts w:ascii="Times New Roman;serif" w:hAnsi="Times New Roman;serif"/>
                  <w:b w:val="false"/>
                  <w:color w:val="0000FF"/>
                  <w:sz w:val="20"/>
                  <w:u w:val="single"/>
                </w:rPr>
                <w:t>61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44d3d18444cbc84f10d8b5054b527_163">
              <w:r>
                <w:rPr>
                  <w:rStyle w:val="InternetLink"/>
                  <w:rFonts w:ascii="Times New Roman;serif" w:hAnsi="Times New Roman;serif"/>
                  <w:b/>
                  <w:color w:val="0000FF"/>
                  <w:sz w:val="20"/>
                  <w:u w:val="single"/>
                </w:rPr>
                <w:t>Signatures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44d3d18444cbc84f10d8b5054b527_163">
              <w:r>
                <w:rPr>
                  <w:rStyle w:val="InternetLink"/>
                  <w:rFonts w:ascii="Times New Roman;serif" w:hAnsi="Times New Roman;serif"/>
                  <w:b w:val="false"/>
                  <w:color w:val="0000FF"/>
                  <w:sz w:val="20"/>
                  <w:u w:val="single"/>
                </w:rPr>
                <w:t>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ind w:left="0" w:right="0" w:firstLine="90"/>
        <w:jc w:val="center"/>
        <w:rPr/>
      </w:pPr>
      <w:r>
        <w:rPr>
          <w:rFonts w:ascii="Times New Roman;serif" w:hAnsi="Times New Roman;serif"/>
          <w:b/>
          <w:color w:val="000000"/>
          <w:sz w:val="20"/>
        </w:rPr>
        <w:t>(unaudited)</w:t>
      </w:r>
      <w:r>
        <w:rPr>
          <w:color w:val="000000"/>
        </w:rPr>
        <w:t> </w:t>
      </w:r>
    </w:p>
    <w:tbl>
      <w:tblPr>
        <w:tblW w:w="9555" w:type="dxa"/>
        <w:jc w:val="left"/>
        <w:tblInd w:w="0" w:type="dxa"/>
        <w:tblLayout w:type="fixed"/>
        <w:tblCellMar>
          <w:top w:w="28" w:type="dxa"/>
          <w:left w:w="28" w:type="dxa"/>
          <w:bottom w:w="28" w:type="dxa"/>
          <w:right w:w="28" w:type="dxa"/>
        </w:tblCellMar>
      </w:tblPr>
      <w:tblGrid>
        <w:gridCol w:w="1756"/>
        <w:gridCol w:w="1544"/>
        <w:gridCol w:w="1545"/>
        <w:gridCol w:w="196"/>
        <w:gridCol w:w="646"/>
        <w:gridCol w:w="109"/>
        <w:gridCol w:w="109"/>
        <w:gridCol w:w="109"/>
        <w:gridCol w:w="109"/>
        <w:gridCol w:w="196"/>
        <w:gridCol w:w="541"/>
        <w:gridCol w:w="109"/>
        <w:gridCol w:w="109"/>
        <w:gridCol w:w="109"/>
        <w:gridCol w:w="109"/>
        <w:gridCol w:w="196"/>
        <w:gridCol w:w="646"/>
        <w:gridCol w:w="109"/>
        <w:gridCol w:w="109"/>
        <w:gridCol w:w="109"/>
        <w:gridCol w:w="109"/>
        <w:gridCol w:w="196"/>
        <w:gridCol w:w="631"/>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general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promotion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on Series A Perpetual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 attributable to common shareholders: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per share of Series A Perpetual preferred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w:t>
        <w:br/>
        <w:t xml:space="preserve">OTHER COMPREHENSIVE (LOSS) INCOME </w:t>
        <w:br/>
        <w:t>(in thousands, except per share amounts)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(unaudited)</w:t>
      </w:r>
    </w:p>
    <w:tbl>
      <w:tblPr>
        <w:tblW w:w="9089" w:type="dxa"/>
        <w:jc w:val="center"/>
        <w:tblInd w:w="0" w:type="dxa"/>
        <w:tblLayout w:type="fixed"/>
        <w:tblCellMar>
          <w:top w:w="28" w:type="dxa"/>
          <w:left w:w="28" w:type="dxa"/>
          <w:bottom w:w="28" w:type="dxa"/>
          <w:right w:w="28" w:type="dxa"/>
        </w:tblCellMar>
      </w:tblPr>
      <w:tblGrid>
        <w:gridCol w:w="1612"/>
        <w:gridCol w:w="1420"/>
        <w:gridCol w:w="1422"/>
        <w:gridCol w:w="196"/>
        <w:gridCol w:w="631"/>
        <w:gridCol w:w="109"/>
        <w:gridCol w:w="109"/>
        <w:gridCol w:w="109"/>
        <w:gridCol w:w="109"/>
        <w:gridCol w:w="196"/>
        <w:gridCol w:w="496"/>
        <w:gridCol w:w="109"/>
        <w:gridCol w:w="109"/>
        <w:gridCol w:w="109"/>
        <w:gridCol w:w="109"/>
        <w:gridCol w:w="196"/>
        <w:gridCol w:w="631"/>
        <w:gridCol w:w="109"/>
        <w:gridCol w:w="109"/>
        <w:gridCol w:w="109"/>
        <w:gridCol w:w="109"/>
        <w:gridCol w:w="196"/>
        <w:gridCol w:w="63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 net of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center"/>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- 2 -</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77"/>
        <w:gridCol w:w="2348"/>
        <w:gridCol w:w="2359"/>
        <w:gridCol w:w="196"/>
        <w:gridCol w:w="736"/>
        <w:gridCol w:w="109"/>
        <w:gridCol w:w="109"/>
        <w:gridCol w:w="109"/>
        <w:gridCol w:w="109"/>
        <w:gridCol w:w="207"/>
        <w:gridCol w:w="780"/>
        <w:gridCol w:w="166"/>
      </w:tblGrid>
      <w:tr>
        <w:trPr/>
        <w:tc>
          <w:tcPr>
            <w:tcW w:w="2977"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expected credit losses of $289 and $275,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$7,632 and $6,367,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$5,117 and $4,795,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commissions,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finance lease obligations,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preferred stock, $0.001 par value; 10,000 shares authorized: 2,776 and 2,691 shares issued; 2,455 and 2,370 shares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20,000 shares authorized; 5,398 and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5,366 shares issued; 3,699 and 3,755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net of applicable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1,699 and 1,611 common shares, respectively, and 321 preferred shares for both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center"/>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(unaudited)</w:t>
      </w:r>
    </w:p>
    <w:tbl>
      <w:tblPr>
        <w:tblW w:w="7523" w:type="dxa"/>
        <w:jc w:val="left"/>
        <w:tblInd w:w="0" w:type="dxa"/>
        <w:tblLayout w:type="fixed"/>
        <w:tblCellMar>
          <w:top w:w="28" w:type="dxa"/>
          <w:left w:w="28" w:type="dxa"/>
          <w:bottom w:w="28" w:type="dxa"/>
          <w:right w:w="28" w:type="dxa"/>
        </w:tblCellMar>
      </w:tblPr>
      <w:tblGrid>
        <w:gridCol w:w="1907"/>
        <w:gridCol w:w="1672"/>
        <w:gridCol w:w="1685"/>
        <w:gridCol w:w="196"/>
        <w:gridCol w:w="631"/>
        <w:gridCol w:w="109"/>
        <w:gridCol w:w="109"/>
        <w:gridCol w:w="109"/>
        <w:gridCol w:w="109"/>
        <w:gridCol w:w="196"/>
        <w:gridCol w:w="646"/>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sale-leaseback of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sale of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from sale of lost-in-hole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 of dispositions: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sale-leaseback of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lost-in-hole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note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 under invoice finance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(including payment of tax withholdings)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net settlement of employee restricted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payments during the period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non-cash disclosures: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See accompanying notes to Condensed Consolidated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(unaudited)</w:t>
      </w:r>
    </w:p>
    <w:tbl>
      <w:tblPr>
        <w:tblW w:w="13899" w:type="dxa"/>
        <w:jc w:val="left"/>
        <w:tblInd w:w="0" w:type="dxa"/>
        <w:tblLayout w:type="fixed"/>
        <w:tblCellMar>
          <w:top w:w="28" w:type="dxa"/>
          <w:left w:w="28" w:type="dxa"/>
          <w:bottom w:w="28" w:type="dxa"/>
          <w:right w:w="28" w:type="dxa"/>
        </w:tblCellMar>
      </w:tblPr>
      <w:tblGrid>
        <w:gridCol w:w="449"/>
        <w:gridCol w:w="368"/>
        <w:gridCol w:w="369"/>
        <w:gridCol w:w="109"/>
        <w:gridCol w:w="109"/>
        <w:gridCol w:w="109"/>
        <w:gridCol w:w="278"/>
        <w:gridCol w:w="278"/>
        <w:gridCol w:w="211"/>
        <w:gridCol w:w="109"/>
        <w:gridCol w:w="109"/>
        <w:gridCol w:w="109"/>
        <w:gridCol w:w="269"/>
        <w:gridCol w:w="331"/>
        <w:gridCol w:w="151"/>
        <w:gridCol w:w="109"/>
        <w:gridCol w:w="109"/>
        <w:gridCol w:w="109"/>
        <w:gridCol w:w="278"/>
        <w:gridCol w:w="278"/>
        <w:gridCol w:w="211"/>
        <w:gridCol w:w="109"/>
        <w:gridCol w:w="109"/>
        <w:gridCol w:w="109"/>
        <w:gridCol w:w="269"/>
        <w:gridCol w:w="331"/>
        <w:gridCol w:w="151"/>
        <w:gridCol w:w="109"/>
        <w:gridCol w:w="109"/>
        <w:gridCol w:w="109"/>
        <w:gridCol w:w="196"/>
        <w:gridCol w:w="736"/>
        <w:gridCol w:w="109"/>
        <w:gridCol w:w="109"/>
        <w:gridCol w:w="109"/>
        <w:gridCol w:w="109"/>
        <w:gridCol w:w="208"/>
        <w:gridCol w:w="800"/>
        <w:gridCol w:w="118"/>
        <w:gridCol w:w="109"/>
        <w:gridCol w:w="109"/>
        <w:gridCol w:w="109"/>
        <w:gridCol w:w="292"/>
        <w:gridCol w:w="851"/>
        <w:gridCol w:w="163"/>
        <w:gridCol w:w="109"/>
        <w:gridCol w:w="109"/>
        <w:gridCol w:w="109"/>
        <w:gridCol w:w="285"/>
        <w:gridCol w:w="286"/>
        <w:gridCol w:w="211"/>
        <w:gridCol w:w="109"/>
        <w:gridCol w:w="109"/>
        <w:gridCol w:w="109"/>
        <w:gridCol w:w="196"/>
        <w:gridCol w:w="661"/>
        <w:gridCol w:w="109"/>
        <w:gridCol w:w="109"/>
        <w:gridCol w:w="109"/>
        <w:gridCol w:w="109"/>
        <w:gridCol w:w="233"/>
        <w:gridCol w:w="769"/>
        <w:gridCol w:w="184"/>
      </w:tblGrid>
      <w:tr>
        <w:trPr/>
        <w:tc>
          <w:tcPr>
            <w:tcW w:w="4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Other 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br/>
              <w:t> (including payment of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net settled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to holders of preferred stock ($0.250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br/>
              <w:t> (including payment of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net settled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to holders of preferred stock ($0.250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(441,575)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763" w:type="dxa"/>
        <w:jc w:val="left"/>
        <w:tblInd w:w="0" w:type="dxa"/>
        <w:tblLayout w:type="fixed"/>
        <w:tblCellMar>
          <w:top w:w="28" w:type="dxa"/>
          <w:left w:w="28" w:type="dxa"/>
          <w:bottom w:w="28" w:type="dxa"/>
          <w:right w:w="28" w:type="dxa"/>
        </w:tblCellMar>
      </w:tblPr>
      <w:tblGrid>
        <w:gridCol w:w="621"/>
        <w:gridCol w:w="282"/>
        <w:gridCol w:w="283"/>
        <w:gridCol w:w="109"/>
        <w:gridCol w:w="109"/>
        <w:gridCol w:w="109"/>
        <w:gridCol w:w="210"/>
        <w:gridCol w:w="210"/>
        <w:gridCol w:w="211"/>
        <w:gridCol w:w="109"/>
        <w:gridCol w:w="109"/>
        <w:gridCol w:w="109"/>
        <w:gridCol w:w="207"/>
        <w:gridCol w:w="428"/>
        <w:gridCol w:w="116"/>
        <w:gridCol w:w="109"/>
        <w:gridCol w:w="109"/>
        <w:gridCol w:w="109"/>
        <w:gridCol w:w="278"/>
        <w:gridCol w:w="278"/>
        <w:gridCol w:w="211"/>
        <w:gridCol w:w="109"/>
        <w:gridCol w:w="109"/>
        <w:gridCol w:w="109"/>
        <w:gridCol w:w="269"/>
        <w:gridCol w:w="331"/>
        <w:gridCol w:w="151"/>
        <w:gridCol w:w="109"/>
        <w:gridCol w:w="109"/>
        <w:gridCol w:w="109"/>
        <w:gridCol w:w="196"/>
        <w:gridCol w:w="736"/>
        <w:gridCol w:w="109"/>
        <w:gridCol w:w="109"/>
        <w:gridCol w:w="109"/>
        <w:gridCol w:w="109"/>
        <w:gridCol w:w="208"/>
        <w:gridCol w:w="800"/>
        <w:gridCol w:w="118"/>
        <w:gridCol w:w="109"/>
        <w:gridCol w:w="109"/>
        <w:gridCol w:w="109"/>
        <w:gridCol w:w="292"/>
        <w:gridCol w:w="851"/>
        <w:gridCol w:w="163"/>
        <w:gridCol w:w="109"/>
        <w:gridCol w:w="109"/>
        <w:gridCol w:w="109"/>
        <w:gridCol w:w="285"/>
        <w:gridCol w:w="286"/>
        <w:gridCol w:w="211"/>
        <w:gridCol w:w="109"/>
        <w:gridCol w:w="109"/>
        <w:gridCol w:w="109"/>
        <w:gridCol w:w="196"/>
        <w:gridCol w:w="661"/>
        <w:gridCol w:w="109"/>
        <w:gridCol w:w="109"/>
        <w:gridCol w:w="109"/>
        <w:gridCol w:w="109"/>
        <w:gridCol w:w="233"/>
        <w:gridCol w:w="769"/>
        <w:gridCol w:w="18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Other 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(430,017)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net settled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(431,773)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net settled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(432,461)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These interim unaudited condensed consolidated financial statements have been prepared in accordance with United States of America (“U.S.”) generally accepted accounting principles (“U.S. GAAP”) for interim financial information and with the instructions to Form 10-Q and Article 8 of Regulation S-X of the U.S. Securities and Exchange Commission (“SEC”) for interim financial reporting and should be read in conjunction with the consolidated financial statements and related notes of Star Equity Holdings, Inc. and its subsidiaries (the “Company”) filed in their respective Annual Reports on Form 10-K for the year ended December 31, 2025.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and the reported amounts of operating revenues and expenses. These estimates are based on management’s knowledge and judgments. In the opinion of management, all adjustments (consisting of normal recurring adjustments) considered necessary for a fair presentation of the Company’s financial position, results of operations, and cash flows at the dates and for the periods presented have been included. The results of operations for interim periods are not necessarily indicative of the results of operations for the full year. The condensed consolidated financial statements include the accounts of the Company and all of its wholly owned subsidiaries. Intra-entity balances and transactions between and among the Company and its subsidiaries have been eliminated in consolidation. Certain prior period amounts have been reclassified to conform to the current year presentation with no material impact on the condensed consolidated financial statements. For more information, see Note 2 to the Condensed Consolidated Financial Statements.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DESCRIPTION OF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Star Equity Holdings, Inc. (“Star Equity,” “Star”, the “Company,” “we,” or “our”) is a multi-industry diversified holding company with four segments: Building Solutions, Business Services, Energy Services, and Investments. Our common stock and Series A preferred stock are listed on the NASDAQ Global Market exchange as “STRR” and “STRRP,”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AMENDMENT TO CERTIFICATE OF INCORPORATION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4, 2025, Star Equity filed a certificate of amendment (the “Amendment”) to the Company’s Amended and Restated Certificate of Incorporation, as Amended (the “Charter”), to change the name of the Company from Hudson Global, Inc. to Star Equity Holdings, Inc. (the “Name Change”). The Name Change was approved by the Company’s Board of Directors (the “Board”) on September 2, 2025, and became effective at 12:01 a.m. (Eastern Time) on September 5,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STAR-HUDSON MERGER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22, 2025, Star Equity Holdings, Inc. ("Star", formerly known as Hudson Global, Inc. ("Hudson")), completed its previously announced acquisition of Star Operating Companies, Inc. ("SOC" or "Star Operating Companies", formerly known as Star Equity Holdings, Inc.) pursuant to the Agreement and Plan of Merger, dated as of May 21, 2025 (the “Merger Agreement”), by and among Star, SOC, and HSON Merger Sub, Inc., a wholly owned subsidiary of Star (“Merger Sub”). Upon the terms and subject to the conditions of the Merger Agreement, on August 22, 2025, at the effective time of the Merger (the “Effective Time”), Merger Sub merged with and into SOC, with SOC continuing as the surviving corporation of the Merger under the name “Star Operating Companies, Inc." as a wholly owned subsidiary of Star.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Merger Agreement, at the Effective Time, (i) each share of common stock of SOC issued and outstanding immediately prior to the Effective Time (other than certain shares as set forth in the Merger Agreement) was automatically converted into the right to receive 0.23 shares of Star common stock (the "exchange ratio") and (ii) each share of preferred stock of SOC issued and outstanding immediately prior to the Effective Time (other than certain shares set forth in the Merger Agreement) was automatically converted into the right to receive one (1) share of Star 10% Series A Cumulative Perpetual preferred stock (“Preferred Stock”). As a result of the Merger, former SOC common stockholders received approximately 744,291 shares of Star common stock for their SOC common shares and former SOC preferred stockholders received approximately 2,690,637 shares of Star Preferred Stock. No fractional shares of Star common stock were issued in the Merger, and SOC stockholders became entitled to receive cash in lieu of fractional shares in accordance with the Merger Agreement.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pursuant to the terms of the Merger Agreement, at the Effective Time, each award of SOC restricted stock units (“RSUs”) outstanding immediately prior to the Effective Time was converted into Star RSUs issued under the Hudson Global, Inc. 2009 Incentive Stock and Awards Plan, as amended (the “Plan”), in accordance with the Merger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financial results of SOC beginning on August 22, 2025 and reflect the post-merger results of the Building Solutions, Energy Services, and Investments segments for the period from January 1, 2026 through June 30, 2026. The acquisition was accounted for as a business combination in accordance with ASC 805, Business Combinations. All significant intercompany accounts and transactions have been eliminated in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Building Solutions segment is currently made up of the following operating businesses: KBS Builders, Inc. (“KBS”); EdgeBuilder, Inc. (“EdgeBuilder”), and Glenbrook Building Supply, Inc. (“Glenbrook”), with the latter two managed together and referred to jointly as “EBGL,” and Timber Technologies Solutions, Inc. (“TT”). KBS is based in Maine and manufactures modular buildings, typically in the single and multi-family residential segments, servicing principally the New England market. EBGL is based in the Minneapolis-Saint Paul area and principally serves the Upper Midwest region. EBGL manufactures and delivers structural wall panels for single and multi-family residential buildings, and other engineered wood-based products. EBGL also distributes building materials from two lumberyard locations primarily focused on professional builder customers. TT is based outside the Minneapolis-St. Paul area and manufactures glue-laminated timber products (“glulam”) for various end markets and applications, including agriculture, industrial, infrastructure, and building construction (commercial and residential).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Services segment delivers Recruitment Process Outsourcing (“RPO”) services consisting of recruitment and contracting solutions tailored to the individual needs of primarily mid-to-large multinational companies. The Company operates directly in eighteen countries organized into three geographic regions: the Americas, Asia Pacific, and Europe, Middle East, and Africa ("EMEA"). The Company’s RPO delivery teams utilize recruitment process methodologies and project management expertise to meet clients’ ongoing business needs. The Company’s RPO services include complete recruitment outsourcing, project-based outsourcing, contingent workforce solutions, and recruitment consulting for clients’ permanent staff hires. RPO services leverage the Company’s consultants, supported by the Company’s specialists, in the delivery of its proprietary methods to identify, select, and engage the best-fit talent for critical client roles. In addition, the Company provides RPO clients with a range of outsourced professional contract staffing services and managed service provider services offered sometimes on a standalone basis and sometimes as part of a blended total talent solution. These services draw upon a combination of specialized recruiting and project management competencies to deliver a wide range of solutions. Hudson RPO-employed professionals - either individually or as a team - are placed with client organizations for a defined period of time based on specific business needs of the client.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Energy Services segment currently consists of Alliance Drilling Tools, Inc. ("ADT"), a Wyoming and Texas based provider of drilling tools and services to the Energy industry, a key sector of the economy. ADT is a full-service downhole drilling tool company which provides sale and rental tools in the Oil &amp; Gas, Geothermal, Mining, and Waterwells sectors. ADT is strategically located near premier oilfields in the Rockies, a geothermal and mining hub, and in Midland, TX within the Permian Basin. ADT’s business model allows for the majority of costs, such as freight, repairs, and damages, to be passed directly to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Investments segment holds and manages certain of our corporate-owned real estate, including a manufacturing facility in Maine that is leased to KBS and a manufacturing facility in Wisconsin that is leased to TT. The Investments segment manages internally funded, concentrated minority investments in a small number of public companies. It also holds and manages a promissory note and a private equity stake in Catalyst MedTech LLC ("Catalyst"), a provider of medical imaging equipment and services. SOC acquired these interests in May 2023 as a result of the sale of Digirad Health. Our Investments segment also holds an investment in Enservco Corporation consisting of an investment in Enservco Common Stock, an investment in Enservco Preferred Stock, and an investment in a call option, all of which currently have a carrying value of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17 to the Condensed Consolidated Financial Statements for further details regarding the Company’s reportable segments: Building Solutions, Business Services, Energy Services and Investments.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color w:val="000000"/>
        </w:rPr>
        <w:t>    </w:t>
      </w:r>
      <w:r>
        <w:rPr>
          <w:rFonts w:ascii="Times New Roman;serif" w:hAnsi="Times New Roman;serif"/>
          <w:b/>
          <w:color w:val="000000"/>
          <w:sz w:val="20"/>
        </w:rPr>
        <w:t>ADOPTION OF ACCOUNTING POLICIES PURSUANT TO MERGER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SOC have been conformed to those of the Company where necessary. No significant differences in accounting policies were identified. As a result of the acquisition, the Company adopted the following accounting policies that were not previously applicable to its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authoritative guidance for fair value measurements defines fair value for accounting purposes, establishes a framework for measuring fair value, and provides disclosure requirements regarding fair value measurements. The guidance defines fair value as an exit price, which is the price that would be received upon sale of an asset or paid upon transfer of a liability in an orderly transaction between market participants at the measurement date. The degree of judgment utilized in measuring the fair value of assets and liabilities generally correlates to the level of pricing observability. Financial instruments primarily consist of cash equivalents, equity securities, accounts receivable, other current assets, restricted cash, and accounts payable. The carrying amount of short-term and long-term debt and notes payable approximates fair value because of the relative short maturity of these instruments and interest rates we could currently obtain.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occasionally enters into derivative financial instruments to manage certain market risks. These derivative instruments are not designated as hedging instruments and accordingly, are recorded at fair value in the Condensed Consolidated Balance Sheets with changes in fair value recognized in cost of revenues 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Securities consist of investments in equity securities that are publicly traded. These equity securities are measured at fair value on a trade date basis and changes in fair value are recognized in net income in other income (expense). Investments that are strategic in nature, with the intent to hold the investment over a several year period, are classified as long-term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Long-Term Investments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a part of the sale of Digirad Health, Star Operating Companies received common equity in Insignia TTG Parent LLC (“Catalyst Parent”), the parent entity of Catalyst formerly known as TTG Imaging Solutions, LLC. In accounting for this investment, we have elected the measurement alternative under ASC 321 “Accounting for Investments in Equity Securities”. The measurement alternative election allows for equity securities that do not have readily determinable fair values to be recorded at cost, with adjustments for impairment and certain observable price changes reflected in earnings. Such securities are adjusted to fair value when an observable price change occurs or impairment is identified. Each reporting period, we perform a qualitative and quantitative assessment considering impairment indicators to evaluate whether the investment is impaired. Impairment indicators include, but are not limited to, significant deterioration in earnings performance, significant adverse changes in the regulatory or economic environment, and working capital deficiencies. If an investment is determined to be impaired, we include an impairment loss as a component of other income (expense) equal to the difference between the fair value of the investment and its carrying amount. During the period ended June 30, 2026, we recognized no impairment loss on this investment</w:t>
      </w:r>
      <w:r>
        <w:rPr>
          <w:rFonts w:ascii="Times New Roman;serif" w:hAnsi="Times New Roman;serif"/>
          <w:b/>
          <w:color w:val="000000"/>
          <w:sz w:val="20"/>
        </w:rPr>
        <w:t xml:space="preser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August 9, 2024, SOC completed an investment in Enservco Corporation (“Enservco”) (“Investment in Enservco”), which consisted of Enservco Common Stock, Enservco Preferred Stock, and certain other options reflected in the Share Exchange Agreement, and the Enservco Note Receivable (See Note 18, </w:t>
      </w:r>
      <w:r>
        <w:rPr>
          <w:rFonts w:ascii="Times New Roman;serif" w:hAnsi="Times New Roman;serif"/>
          <w:b w:val="false"/>
          <w:i/>
          <w:color w:val="000000"/>
          <w:sz w:val="20"/>
        </w:rPr>
        <w:t>Supplementary Balance Sheet Information</w:t>
      </w:r>
      <w:r>
        <w:rPr>
          <w:rFonts w:ascii="Times New Roman;serif" w:hAnsi="Times New Roman;serif"/>
          <w:b w:val="false"/>
          <w:color w:val="000000"/>
          <w:sz w:val="20"/>
        </w:rPr>
        <w:t>). The Investment in Enservco is required to be accounted for using the equity method of accounting under ASC 323, “Equity Method Investments and Joint Venture</w:t>
      </w:r>
      <w:r>
        <w:rPr>
          <w:rFonts w:ascii="Times New Roman;serif" w:hAnsi="Times New Roman;serif"/>
          <w:b w:val="false"/>
          <w:i/>
          <w:color w:val="000000"/>
          <w:sz w:val="20"/>
        </w:rPr>
        <w:t>s”</w:t>
      </w:r>
      <w:r>
        <w:rPr>
          <w:rFonts w:ascii="Times New Roman;serif" w:hAnsi="Times New Roman;serif"/>
          <w:b w:val="false"/>
          <w:color w:val="000000"/>
          <w:sz w:val="20"/>
        </w:rPr>
        <w:t xml:space="preserve">, as we are deemed to have significant influence over Enservco based upon GAAP rules. Pursuant to the guidance in ASC 323, we elected the fair value option pursuant to ASC 825-10-15, wherein the financial instrument is initially measured at estimated fair value as of the transaction issue date and then subsequently remeasured at estimated fair value as of each reporting period balance sheet date, with changes in the estimated fair value recognized as other income (expense) in the statement of operations. Enservco Common Stock is publicly traded, and the fair value is determined based on Enservco’s common stock close price as of the reporting date. The fair value of the Enservco Preferred Stock was based on the consideration of a number of objective and subjective factors, including third-party valuations and a company-specific economic outlook. To determine the fair value of the call option, the Company used the Black-Scholes option pricing model. The fair value of the Enservco Note was determined using a discounted cash flow model. Fair value assumptions are further described in Note 12, </w:t>
      </w:r>
      <w:r>
        <w:rPr>
          <w:rFonts w:ascii="Times New Roman;serif" w:hAnsi="Times New Roman;serif"/>
          <w:b w:val="false"/>
          <w:i/>
          <w:color w:val="000000"/>
          <w:sz w:val="20"/>
        </w:rPr>
        <w:t>Fair Value Measurements</w:t>
      </w:r>
      <w:r>
        <w:rPr>
          <w:rFonts w:ascii="Times New Roman;serif" w:hAnsi="Times New Roman;serif"/>
          <w:b w:val="false"/>
          <w:color w:val="000000"/>
          <w:sz w:val="20"/>
        </w:rPr>
        <w:t xml:space="preserve">. The Enservco Note was determined to be uncollectible as of December 31, 2024 and the value was reduced to $0. As described further in Note 18, </w:t>
      </w:r>
      <w:r>
        <w:rPr>
          <w:rFonts w:ascii="Times New Roman;serif" w:hAnsi="Times New Roman;serif"/>
          <w:b w:val="false"/>
          <w:i/>
          <w:color w:val="000000"/>
          <w:sz w:val="20"/>
        </w:rPr>
        <w:t>Supplementary Balance Sheet Information</w:t>
      </w:r>
      <w:r>
        <w:rPr>
          <w:rFonts w:ascii="Times New Roman;serif" w:hAnsi="Times New Roman;serif"/>
          <w:b w:val="false"/>
          <w:color w:val="000000"/>
          <w:sz w:val="20"/>
        </w:rPr>
        <w:t xml:space="preserve">, the value of the Enservco Note was fully collateralized and SOC called the collateral once it was determined that the note was in default.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are valued using first-in, first-out, or the weighted-average inventory method; stated at the lower of cost or net realizable value. Finished goods and work-in-process inventory values include the cost of raw materials, labor, and manufacturing overhead. Inventory, when written down to net realizable value, establishes a new cost basis and its value is not subsequently increased based upon changes in underlying facts and circumstances. We also make adjustments to reduce the carrying amount of inventories for estimated excess or obsolete inventories. Factors influencing these adjustments include inventory on-hand compared with historical and estimated future sales and usage for new and existing products and assumptions about the likelihood of obsolescence.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incur debt issuance costs in connection with debt financings. Debt issuance costs for line of credit are presented in other assets and are amortized over the term of the revolving debt agreements using the straight-line method. Debt issuance costs for term debt are netted against the debt and are amortized over the term of the loan using the effective interest method. Amortization of debt issuance costs are included in interest expense. As of June 30, 2026, we have no unamortized debt issuance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Shipping and Handling Fees and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all shipping and handling costs billed to customers as revenue earned for the goods provided. Shipping and handling costs related to continuing operations are included in cost of revenues and totaled $808 and $1,622 for the three and six months ended June 30, 2026,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Within our Building Solutions segment, KBS provides a limited assurance warranty on its residential homes that covers substantial defects in materials or workmanship for a period of 12 months after delivery to the owner. EBGL provides a limited warranty on the sale of its wood foundation products that covers leaks resulting from defects in workmanship for a period of 25 years. TT provides a limited warranty on glulam products for a period of 50 years. Estimated warranty costs are accrued in the period that the related revenue is recognized. See Note</w:t>
      </w:r>
      <w:r>
        <w:rPr>
          <w:color w:val="000000"/>
        </w:rPr>
        <w:t xml:space="preserve"> </w:t>
      </w:r>
      <w:r>
        <w:rPr>
          <w:rFonts w:ascii="Times New Roman;serif" w:hAnsi="Times New Roman;serif"/>
          <w:b w:val="false"/>
          <w:color w:val="000000"/>
          <w:sz w:val="20"/>
        </w:rPr>
        <w:t>18,</w:t>
      </w:r>
      <w:r>
        <w:rPr>
          <w:color w:val="000000"/>
        </w:rPr>
        <w:t xml:space="preserve"> </w:t>
      </w:r>
      <w:r>
        <w:rPr>
          <w:rFonts w:ascii="Times New Roman;serif" w:hAnsi="Times New Roman;serif"/>
          <w:b w:val="false"/>
          <w:i/>
          <w:color w:val="000000"/>
          <w:sz w:val="20"/>
        </w:rPr>
        <w:t>Supplementary Balance Sheet Information</w:t>
      </w:r>
      <w:r>
        <w:rPr>
          <w:rFonts w:ascii="Times New Roman;serif" w:hAnsi="Times New Roman;serif"/>
          <w:b w:val="false"/>
          <w:color w:val="000000"/>
          <w:sz w:val="20"/>
        </w:rPr>
        <w:t>, for further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Advertising and Marketing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Advertising and marketing costs are expensed as incurred. Total advertising and marketing costs for the three and six months ended June 30, 2026 were $1,001 and $1,923, respectively, and $971 and $1,901 for the three and six months ended June 30, 2025, respectively.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ACCOUNTING PRONOUNCEMENTS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Adoption of New Accounting Pronouncements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w:t>
        <w:noBreakHyphen/>
        <w:t>09, Income Taxes (Topic 740): “Improvements to Income Tax Disclosures”, which enhances annual income tax disclosures primarily related to the effective tax rate reconciliation and income taxes paid. The standard is effective for the Company for annual periods beginning after January 1, 2025, and the Company adopted the guidance on a prospective basis, with prior periods not revised. The adoption of ASU 2023</w:t>
        <w:noBreakHyphen/>
        <w:t>09 did not have an impact on the Company’s income tax recognition or measurement, and only affects the Company’s annual income tax footnote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(“ASU”) 2025</w:t>
        <w:noBreakHyphen/>
        <w:t>05, Financial Instruments—Credit Losses (Topic 326): Measurement of Credit Losses for Accounts Receivable and Contract Assets. The ASU provides an optional practical expedient for estimating expected credit losses on current accounts receivable and contract assets arising from revenue transactions accounted for under ASC 606. The Company adopted ASU 2025</w:t>
        <w:noBreakHyphen/>
        <w:t>05 on January 1, 2026, the beginning of its 2026 fiscal year, and elected the practical expedient for in</w:t>
        <w:noBreakHyphen/>
        <w:t>scope current accounts receivable and contract assets. The adoption of ASU 2025</w:t>
        <w:noBreakHyphen/>
        <w:t>05, including the election of the practical expedient, did not have a material impact on the Company’s condensed consolidated financial statements or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Recent Accounting Standards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ASU 2025-06 updates the accounting for internal-use software by removing the previous “project stage” model and requiring capitalization only when management authorizes and commits to funding a project that is probable of completion. The ASU also adds guidance on assessing development uncertainty, incorporates website development into Subtopic 350-40, and aligns presentation and disclosure requirements with ASC 360. The amendments are effective for annual periods beginning after December 15, 2027, and interim periods within those years, with early adoption permitted. Entities may apply the standard prospectively, modified-prospectively, or retrospectively. The Company is currently evaluating the impact of this guidance and does not expect the adoption to have a material effect on its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The amendments clarify the scope of ASC 270, Interim Reporting, by specifying when an entity is subject to ASC 270 and by addressing the form and content of interim financial statements and related disclosure requirements. The ASU also consolidates into ASC 270 a list of interim disclosures required by other Topics and emphasizes that interim disclosures should focus on events and changes since the most recent annual reporting period that have a material effect on the entity. The amendments are effective for the Company for interim reporting periods within annual reporting periods beginning after December 15, 2027, and may be applied prospectively or retrospectively to any or all prior interim periods presented, with early adoption permitted. The Company is currently evaluating the impact of this guidance and does not expect the adoption to have a material effect on its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12, “Codification Improvements”, which makes technical corrections, clarifications, and other minor improvements to various Topics in the Codification, including guidance related to earnings per share, treasury stock, income taxes, and other areas. The amendments are intended to improve the consistency and clarity of U.S. GAAP without creating new substantive requirements. The amendments are effective for the Company for annual reporting periods beginning after December 15, 2026, and interim periods within those annual reporting periods, with early adoption permitted in both interim and annual periods. The Company is currently evaluating the impact of this guidance and does not expect the adoption to have a material effect on its consolidated financial statements.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w:t>
        <w:noBreakHyphen/>
        <w:t>03, “Income Statement—Reporting Comprehensive Income—Expense Disaggregation Disclosures” (Subtopic 220</w:t>
        <w:noBreakHyphen/>
        <w:t>40): Disaggregation of Income Statement Expenses, which requires public entities to provide additional detail on specific expense categories in the notes to the financial statements on both an interim and annual basis. In January 2025, the FASB issued ASU 2025</w:t>
        <w:noBreakHyphen/>
        <w:t>01, Income Statement—Reporting Comprehensive Income—Expense Disaggregation Disclosures (Subtopic 220</w:t>
        <w:noBreakHyphen/>
        <w:t>40): Clarifying the Effective Date, to clarify the effective date of the new guidance. The guidance is effective for the Company for fiscal years beginning after December 15, 2026, and for interim periods within annual reporting periods beginning after December 15, 2027, and may be applied on either a retrospective or prospective basis, with early adoption permitted. The Company is currently evaluating the impact of this guidance on its financial statement disclosures.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 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Building Solutions Revenue Recognition.</w:t>
      </w:r>
      <w:r>
        <w:rPr>
          <w:color w:val="000000"/>
        </w:rPr>
        <w:t xml:space="preserve"> </w:t>
      </w:r>
      <w:r>
        <w:rPr>
          <w:rFonts w:ascii="Times New Roman;serif" w:hAnsi="Times New Roman;serif"/>
          <w:b w:val="false"/>
          <w:color w:val="000000"/>
          <w:sz w:val="20"/>
        </w:rPr>
        <w:t>Within the Building Solutions segment, we service residential and commercial construction projects by manufacturing modular housing units and other products, supplying general contractors with building materials, and providing glue-laminated timber products (“glulam”) to distributors and end users. KBS manufactures modular buildings for both single-family residential homes and larger, commercial building projects. EdgeBuilder manufactures structural wall panels, permanent wood foundation systems, and other engineered wood products, and Glenbrook is a retail supplier of lumber and other building supplies. Retail sales at Glenbrook are recognized at the point of sale. TT manufactures glulam for various end markets and applications, including agriculture, industrial, infrastructure, and building construction (commercial and residential). For bill and hold sales, we determine when the customer obtains control of the product on a case-by-case basis to determine the amount of revenue to recognize each period. Revenue is generally recognized at point in time upon delivery of product or over time by measuring progress towards completion. There are no contracts as of June 30, 2026 that are subject to over time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 xml:space="preserve">Business Services Revenue Recognition. </w:t>
      </w:r>
      <w:r>
        <w:rPr>
          <w:rFonts w:ascii="Times New Roman;serif" w:hAnsi="Times New Roman;serif"/>
          <w:b w:val="false"/>
          <w:color w:val="000000"/>
          <w:sz w:val="20"/>
        </w:rPr>
        <w:t xml:space="preserve">We account for a contract when both parties to the contract have approved the contract, the rights of the parties are identified, payment terms are identified, the contract has commercial substance, and collectability of consideration is probable. Revenues are recognized over time or as services are delivered to customers, using an input or output method, as the control of the promised services is transferred to the client in an amount that reflects the consideration we expect to be entitled to in exchange for those services. The majority of our contracts are short-term in nature as they include termination clauses that allow either party to cancel within a short termination period, without cause. Revenue includes billable travel and other reimbursable costs and is reported net of sales or use taxes collected from clients and remitted to taxing authorities. </w:t>
      </w:r>
    </w:p>
    <w:p>
      <w:pPr>
        <w:pStyle w:val="TextBody"/>
        <w:bidi w:val="0"/>
        <w:spacing w:before="0" w:after="0"/>
        <w:ind w:left="0" w:right="0" w:firstLine="3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We generally determine standalone selling prices based on the prices included in our client contracts, using expected cost plus profit,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usage-based fees that increase the transaction price and volume rebates or other similar items that generally reduce the transaction price. We estimate variable consideration using the expected value method based on the terms of the client contract and historical evidence. These amounts may be constrained and are only included in revenue to the extent we do not expect a significant reversal when the uncertainty associated with the variable consideration is resolved. Other than bonuses to be paid to contractors, on behalf of our clients, our estimated amounts of variable consideration subject to constraints are not material, and we do not believe that there will be significant changes to our estimates. Certain contract employees are entitled to performance bonuses at the sole discretion of the client and are constrained until approved. No bonuses were approved and paid to our contract employees in the three and six months ended June 30, 2026 and 2025.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record accounts receivable when our right to consideration becomes unconditional. Contract assets primarily relate to our rights to consideration for services provided that such rights to consideration are conditional on satisfaction of future performance obligations. A contract liability for deferred revenue is recorded when consideration is received, or is unconditionally due, from a client prior to transferring control of services to the client under the terms of a contract. Deferred revenue balances typically result from advance payments received from clients prior to transferring control of services. Other than deferred revenue, we do not have any material contract assets or liabilities as of and for the six months ended June 30, 2026 and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Payment terms vary by client and the services being provided to the client. We consider payment terms that exceed one year to be extended payment terms. Substantially all of the Company’s contracts include payment terms of 90 days or less, and we do not extend payment terms beyond one year.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primarily record revenue on a gross basis in the Condensed Consolidated Statements of Operations and Comprehensive Income based upon the following key factors: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We maintain the direct contractual relationship with the client and are responsible for fulfilling the service promised to the client.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We maintain control over our contractors while the services to the client are being performed, including our contractors’ billing rates, and are ultimately responsible for paying them.</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 xml:space="preserve">RPO. </w:t>
      </w:r>
      <w:r>
        <w:rPr>
          <w:rFonts w:ascii="Times New Roman;serif" w:hAnsi="Times New Roman;serif"/>
          <w:b w:val="false"/>
          <w:color w:val="000000"/>
          <w:sz w:val="20"/>
        </w:rPr>
        <w:t>We provide complete recruitment outsourcing, project-based outsourcing, and recruitment consulting services for clients’ permanent staff hires. We recognize revenue for our RPO over time in an amount that reflects the consideration we expect to be entitled to and have an enforceable right to payment in exchange for our services. The client simultaneously receives and consumes the benefits of the services as they are provided. The transaction prices contain both fixed fees and variable consideration. Variable consideration is constrained by candidates accepting offers of permanent employment. We recognize revenue on fixed fees as the performance obligations are satisfied and variable fees as the constraint is lifted. We do not incur incremental costs to obtain our RPO contracts. The costs to fulfill these contracts are expensed as incurred.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recognize permanent placement revenue when employment candidates accept offers of permanent employment. We have a substantial history of estimating the financial impact of permanent placement candidates who do not remain with our clients through a guarantee period. Fees to clients are generally calculated as a percentage of the new employee’s annual compensation. No fees for permanent placement services are charged to employment candidates.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Contracting.</w:t>
      </w:r>
      <w:r>
        <w:rPr>
          <w:color w:val="000000"/>
        </w:rPr>
        <w:t xml:space="preserve"> </w:t>
      </w:r>
      <w:r>
        <w:rPr>
          <w:rFonts w:ascii="Times New Roman;serif" w:hAnsi="Times New Roman;serif"/>
          <w:b w:val="false"/>
          <w:color w:val="000000"/>
          <w:sz w:val="20"/>
        </w:rPr>
        <w:t>We provide clients with a range of outsourced professional contract staffing services and managed service provider services, sometimes offered on a standalone basis and sometimes offered as part of a blended total talent solution. We recognize revenue for our contracting services over time as services are performed in an amount that reflects the consideration we expect to be entitled to and have an enforceable right to payment in exchange for our services, which is generally calculated as hours worked multiplied by the agreed-upon hourly bill rate. The client simultaneously receives and consumes the benefits of the services as they are provided. We do not incur incremental costs to obtain our contracts for outsourced professional contract staffing services and managed service provider services. The costs incurred to fulfill these contracts are expensed as incurred.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Unsatisfied performance obligations.</w:t>
      </w:r>
      <w:r>
        <w:rPr>
          <w:color w:val="000000"/>
        </w:rPr>
        <w:t xml:space="preserve"> </w:t>
      </w:r>
      <w:r>
        <w:rPr>
          <w:rFonts w:ascii="Times New Roman;serif" w:hAnsi="Times New Roman;serif"/>
          <w:b w:val="false"/>
          <w:color w:val="000000"/>
          <w:sz w:val="20"/>
        </w:rPr>
        <w:t>As a practical expedient, we do not disclose the value of unsatisfied performance obligations for (i) contracts with an expected original duration of one year or less and (ii) contracts for which we recognize revenue at the amount to which we have the right to invoice for services performed.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 xml:space="preserve">Energy Services Revenue Recognition. </w:t>
      </w:r>
      <w:r>
        <w:rPr>
          <w:rFonts w:ascii="Times New Roman;serif" w:hAnsi="Times New Roman;serif"/>
          <w:b w:val="false"/>
          <w:color w:val="000000"/>
          <w:sz w:val="20"/>
        </w:rPr>
        <w:t>ADT is principally engaged in the business of renting drilling tools. We also sell new drilling tools, drilling parts, supplies, and used rental tools. In addition, ADT offers repair services to support its customers. Tools purchased for sale are recorded as inventory. Tools intended for rental are recorded as part of fixed assets. Equipment rental revenue is recognized on a straight-line basis over the length of the rental contract. New tools, parts, and supplies sales are recognized as revenue upon transfer of control, which generally occurs when products are picked up by or delivered to the customer. Repair services revenues are recognized in the period the services are provided. Upon the sale of other rental tools from fixed assets, we recognize a gain or loss on the sale in other (expense) income, net.</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ADT’s equipment rental agreements generally contain provisions whereby should the rented tools or components provided to a customer be deemed to be irretrievably lost during drilling operations, commonly referred to as “lost-in-hole,” the Company has the right to receive reimbursement for such losses. Amounts billed to customers are at an agreed upon price relative to the specific piece of equipment, the revenue of which is recognized at the time the loss of the equipment is confirmed. The gross profit recognized from lost-in-hole transactions is normally calculated as the difference between the amounts billed to the customer and the net book value of the lost equipment. This gross profit is presented as a separate line item in the statement of cash flows under operating activities, and the cash received in connection with these activities is presented as an offset to cash purchases of property and equipment in the investing section of the statement of cash flows, to the extent it does not exceed the cash used for the purchases of the replacement equipment. Revenue recognized for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ended June 30, 2026, totaled $172. No significant lost-in-hole reimbursements were outstanding or contingent as of the end of the second quarter.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Billings in excess of costs and estimated profit.</w:t>
      </w:r>
      <w:r>
        <w:rPr>
          <w:color w:val="000000"/>
        </w:rPr>
        <w:t xml:space="preserve"> </w:t>
      </w:r>
      <w:r>
        <w:rPr>
          <w:rFonts w:ascii="Times New Roman;serif" w:hAnsi="Times New Roman;serif"/>
          <w:b w:val="false"/>
          <w:color w:val="000000"/>
          <w:sz w:val="20"/>
        </w:rPr>
        <w:t>We recognize billings in excess of costs and estimated profit on uncompleted contracts within current liabilities. Such amounts relate to fixed-price contracts recognized over time, and represents payments in advance of performing the related contract work. Billings in excess of costs and estimated profit on uncompleted contracts are not considered to be a significant financing component because they are generally used to meet working capital demands that can be higher in the early stages of a contract. Contract liabilities are reduced when the associated revenue from the contract is recognized, which is generally within one year. There are no liabilities associated with billings in excess of costs at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Contract Costs</w:t>
      </w:r>
      <w:r>
        <w:rPr>
          <w:rFonts w:ascii="Times New Roman;serif" w:hAnsi="Times New Roman;serif"/>
          <w:b/>
          <w:color w:val="000000"/>
          <w:sz w:val="20"/>
        </w:rPr>
        <w:t xml:space="preserve">. </w:t>
      </w:r>
      <w:r>
        <w:rPr>
          <w:rFonts w:ascii="Times New Roman;serif" w:hAnsi="Times New Roman;serif"/>
          <w:b w:val="false"/>
          <w:color w:val="000000"/>
          <w:sz w:val="20"/>
        </w:rPr>
        <w:t>We recognize an asset for the incremental costs of obtaining a contract with a customer if we expect the benefit of those costs to be longer than one year. The Company applies a practical expedient to expense costs as incurred for these costs when the amortization period is one year or less. These costs primarily consist of internal sales commissions; under the terms of these programs these are generally earned and the costs are recognized at the time the associated revenue is recognized. As of June 30, 2026, there were no contract costs recognized.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 xml:space="preserve">Deferred Revenue. </w:t>
      </w:r>
      <w:r>
        <w:rPr>
          <w:rFonts w:ascii="Times New Roman;serif" w:hAnsi="Times New Roman;serif"/>
          <w:b w:val="false"/>
          <w:color w:val="000000"/>
          <w:sz w:val="20"/>
        </w:rPr>
        <w:t>Deferred revenue represents customer deposits and advanced payments for contracts that are subject to point-in-time recognition, or payments received prior to transferring control of services to customers. We have determined our contracts do not include a significant financing component.</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deferred revenue for the six months ended June 30, 2026 are as follows:</w:t>
      </w:r>
    </w:p>
    <w:p>
      <w:pPr>
        <w:pStyle w:val="TextBody"/>
        <w:bidi w:val="0"/>
        <w:spacing w:before="0" w:after="0"/>
        <w:ind w:left="0" w:right="0" w:firstLine="720"/>
        <w:jc w:val="both"/>
        <w:rPr/>
      </w:pPr>
      <w:r>
        <w:rPr/>
      </w:r>
    </w:p>
    <w:tbl>
      <w:tblPr>
        <w:tblW w:w="6512" w:type="dxa"/>
        <w:jc w:val="left"/>
        <w:tblInd w:w="0" w:type="dxa"/>
        <w:tblLayout w:type="fixed"/>
        <w:tblCellMar>
          <w:top w:w="28" w:type="dxa"/>
          <w:left w:w="28" w:type="dxa"/>
          <w:bottom w:w="28" w:type="dxa"/>
          <w:right w:w="28" w:type="dxa"/>
        </w:tblCellMar>
      </w:tblPr>
      <w:tblGrid>
        <w:gridCol w:w="1911"/>
        <w:gridCol w:w="1682"/>
        <w:gridCol w:w="1686"/>
        <w:gridCol w:w="109"/>
        <w:gridCol w:w="109"/>
        <w:gridCol w:w="109"/>
        <w:gridCol w:w="196"/>
        <w:gridCol w:w="556"/>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 that was included in balance at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related to contracts entered into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tables present our revenue disaggregated by major source for the three and six months ended June 30, 2026 and 2025, respectively:</w:t>
      </w:r>
    </w:p>
    <w:p>
      <w:pPr>
        <w:pStyle w:val="TextBody"/>
        <w:bidi w:val="0"/>
        <w:spacing w:before="0" w:after="0"/>
        <w:jc w:val="both"/>
        <w:rPr/>
      </w:pPr>
      <w:r>
        <w:rPr/>
      </w:r>
    </w:p>
    <w:tbl>
      <w:tblPr>
        <w:tblW w:w="10117" w:type="dxa"/>
        <w:jc w:val="left"/>
        <w:tblInd w:w="0" w:type="dxa"/>
        <w:tblLayout w:type="fixed"/>
        <w:tblCellMar>
          <w:top w:w="28" w:type="dxa"/>
          <w:left w:w="28" w:type="dxa"/>
          <w:bottom w:w="28" w:type="dxa"/>
          <w:right w:w="28" w:type="dxa"/>
        </w:tblCellMar>
      </w:tblPr>
      <w:tblGrid>
        <w:gridCol w:w="1275"/>
        <w:gridCol w:w="1120"/>
        <w:gridCol w:w="1130"/>
        <w:gridCol w:w="109"/>
        <w:gridCol w:w="109"/>
        <w:gridCol w:w="109"/>
        <w:gridCol w:w="315"/>
        <w:gridCol w:w="1039"/>
        <w:gridCol w:w="175"/>
        <w:gridCol w:w="109"/>
        <w:gridCol w:w="109"/>
        <w:gridCol w:w="109"/>
        <w:gridCol w:w="296"/>
        <w:gridCol w:w="978"/>
        <w:gridCol w:w="165"/>
        <w:gridCol w:w="109"/>
        <w:gridCol w:w="109"/>
        <w:gridCol w:w="109"/>
        <w:gridCol w:w="300"/>
        <w:gridCol w:w="853"/>
        <w:gridCol w:w="167"/>
        <w:gridCol w:w="109"/>
        <w:gridCol w:w="109"/>
        <w:gridCol w:w="109"/>
        <w:gridCol w:w="196"/>
        <w:gridCol w:w="64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 2026</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Major Goods/Service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RPO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Contracting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Other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74"/>
        <w:gridCol w:w="1119"/>
        <w:gridCol w:w="1129"/>
        <w:gridCol w:w="109"/>
        <w:gridCol w:w="109"/>
        <w:gridCol w:w="109"/>
        <w:gridCol w:w="314"/>
        <w:gridCol w:w="1038"/>
        <w:gridCol w:w="174"/>
        <w:gridCol w:w="109"/>
        <w:gridCol w:w="109"/>
        <w:gridCol w:w="109"/>
        <w:gridCol w:w="295"/>
        <w:gridCol w:w="977"/>
        <w:gridCol w:w="164"/>
        <w:gridCol w:w="109"/>
        <w:gridCol w:w="109"/>
        <w:gridCol w:w="109"/>
        <w:gridCol w:w="299"/>
        <w:gridCol w:w="852"/>
        <w:gridCol w:w="166"/>
        <w:gridCol w:w="109"/>
        <w:gridCol w:w="109"/>
        <w:gridCol w:w="109"/>
        <w:gridCol w:w="196"/>
        <w:gridCol w:w="736"/>
        <w:gridCol w:w="164"/>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Major Goods/Service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RPO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Contracting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Other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305" w:type="dxa"/>
        <w:jc w:val="left"/>
        <w:tblInd w:w="0" w:type="dxa"/>
        <w:tblLayout w:type="fixed"/>
        <w:tblCellMar>
          <w:top w:w="28" w:type="dxa"/>
          <w:left w:w="28" w:type="dxa"/>
          <w:bottom w:w="28" w:type="dxa"/>
          <w:right w:w="28" w:type="dxa"/>
        </w:tblCellMar>
      </w:tblPr>
      <w:tblGrid>
        <w:gridCol w:w="1275"/>
        <w:gridCol w:w="1120"/>
        <w:gridCol w:w="1130"/>
        <w:gridCol w:w="109"/>
        <w:gridCol w:w="109"/>
        <w:gridCol w:w="109"/>
        <w:gridCol w:w="109"/>
        <w:gridCol w:w="109"/>
        <w:gridCol w:w="361"/>
        <w:gridCol w:w="1192"/>
        <w:gridCol w:w="201"/>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Major Goods/Service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RPO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Contracting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90" w:type="dxa"/>
        <w:jc w:val="left"/>
        <w:tblInd w:w="0" w:type="dxa"/>
        <w:tblLayout w:type="fixed"/>
        <w:tblCellMar>
          <w:top w:w="28" w:type="dxa"/>
          <w:left w:w="28" w:type="dxa"/>
          <w:bottom w:w="28" w:type="dxa"/>
          <w:right w:w="28" w:type="dxa"/>
        </w:tblCellMar>
      </w:tblPr>
      <w:tblGrid>
        <w:gridCol w:w="1275"/>
        <w:gridCol w:w="1120"/>
        <w:gridCol w:w="1130"/>
        <w:gridCol w:w="109"/>
        <w:gridCol w:w="109"/>
        <w:gridCol w:w="109"/>
        <w:gridCol w:w="109"/>
        <w:gridCol w:w="109"/>
        <w:gridCol w:w="544"/>
        <w:gridCol w:w="1793"/>
        <w:gridCol w:w="302"/>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Major Goods/Service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RPO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Contracting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goods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Star Operating Companies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August 22, 2025, the Company completed its previously announced acquisition of SOC pursuant to the Agreement and Plan of Merger, dated as of May 21, 2025 (the “Merger Agreement”). This resulted in a business combination pursuant to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Merger Agreement determined consideration for the purchase as follows: at the Effective Time, (i) each share of common stock of SOC issued and outstanding immediately prior to the Effective Time (other than certain shares as set forth in the Merger Agreement) were automatically converted into the right to receive 0.23 shares of Company common stock and (ii) each share of preferred stock of SOC issued and outstanding immediately prior to the Effective Time (other than certain shares set forth in the Merger Agreement) were automatically converted into the right to receive one (1) share of Star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 Series A Cumulative Perpetual preferred stock (“Preferred Stock”). As a result of the Merger, former SOC common stockholders received approximately 744,291 shares of Star common stock for their SOC common shares and former SOC preferred stockholders received approximately 2,690,637 shares of Star Preferred Stock. No fractional shares of Star common stock were issued in the Merger, and SOC stockholders became entitled to receive cash in lieu of fractional shares in accordance with the Merger Agreement. The total consideration paid for SOC, which represents the fair value of the common and preferred stock, totaled approximately $32,174. Prior to the completion of the Merger Agreement, the Company determined that the Merger Agreement was in the best interests of the Company and for each of the Star and the SOC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805, Business Combinations, the Company accounted for this transaction as a business combination and recorded the acquired assets and assumed liabilities of SOC at their respective fair values as of the acquisition date. As of June 30, 2026, the purchase price allocation has been finalized, including the valuation of property and equipment, intangible assets, inventory, income taxes, and goodwill, among other items. The fair values of assets acquired and liabilities assumed were determined using valuation techniques consistent with ASC 820, Fair Value Measurement. These fair value measurements are considered nonrecurring and were determined as of the acquisition date. As noted in Note 2, Description of Business, SOC is reported as part of our Building Solutions, Energy Services, and Investments segments. The Company incurred transaction costs related to the SOC Acquisition of $1,600 that were expensed as part of “Office and general”.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purchase price allocation of SOC to the estimated fair value of assets acquired as of the acquisition date:</w:t>
      </w:r>
    </w:p>
    <w:tbl>
      <w:tblPr>
        <w:tblW w:w="4912" w:type="dxa"/>
        <w:jc w:val="left"/>
        <w:tblInd w:w="0" w:type="dxa"/>
        <w:tblLayout w:type="fixed"/>
        <w:tblCellMar>
          <w:top w:w="28" w:type="dxa"/>
          <w:left w:w="28" w:type="dxa"/>
          <w:bottom w:w="28" w:type="dxa"/>
          <w:right w:w="28" w:type="dxa"/>
        </w:tblCellMar>
      </w:tblPr>
      <w:tblGrid>
        <w:gridCol w:w="1258"/>
        <w:gridCol w:w="1108"/>
        <w:gridCol w:w="1114"/>
        <w:gridCol w:w="109"/>
        <w:gridCol w:w="109"/>
        <w:gridCol w:w="109"/>
        <w:gridCol w:w="196"/>
        <w:gridCol w:w="646"/>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Restricted cash,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Investments in equity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commissions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Consolidated Statements of Operations for the three and six months ended June 30, 2026, included revenue of $18,556</w:t>
      </w:r>
      <w:r>
        <w:rPr>
          <w:color w:val="EE2724"/>
        </w:rPr>
        <w:t xml:space="preserve"> </w:t>
      </w:r>
      <w:r>
        <w:rPr>
          <w:rFonts w:ascii="Times New Roman;serif" w:hAnsi="Times New Roman;serif"/>
          <w:b w:val="false"/>
          <w:color w:val="000000"/>
          <w:sz w:val="20"/>
        </w:rPr>
        <w:t>and $33,612, and net loss of $384 and $2,633, respectively, from SOC.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represents certain information from the unaudited pro forma Condensed Consolidated Statement of Operations as if SOC had been included in the consolidated results of the Company for the three and six months ended June 30, 2025:</w:t>
      </w:r>
    </w:p>
    <w:tbl>
      <w:tblPr>
        <w:tblW w:w="5857" w:type="dxa"/>
        <w:jc w:val="left"/>
        <w:tblInd w:w="0" w:type="dxa"/>
        <w:tblLayout w:type="fixed"/>
        <w:tblCellMar>
          <w:top w:w="28" w:type="dxa"/>
          <w:left w:w="28" w:type="dxa"/>
          <w:bottom w:w="28" w:type="dxa"/>
          <w:right w:w="28" w:type="dxa"/>
        </w:tblCellMar>
      </w:tblPr>
      <w:tblGrid>
        <w:gridCol w:w="500"/>
        <w:gridCol w:w="439"/>
        <w:gridCol w:w="440"/>
        <w:gridCol w:w="109"/>
        <w:gridCol w:w="109"/>
        <w:gridCol w:w="109"/>
        <w:gridCol w:w="361"/>
        <w:gridCol w:w="1192"/>
        <w:gridCol w:w="201"/>
        <w:gridCol w:w="109"/>
        <w:gridCol w:w="109"/>
        <w:gridCol w:w="109"/>
        <w:gridCol w:w="299"/>
        <w:gridCol w:w="1124"/>
        <w:gridCol w:w="166"/>
        <w:gridCol w:w="109"/>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Pro-forma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Alpha Consulting Group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 announced that it had acquired Alpha Consulting Group (“ACG”) (“Seller”), a Japan-based provider of recruitment services. The acquisition of ACG represents the Company’s entry into the Japanese market as part of its localization strategy for its Business Services segment. In connection with the acquisition, the seller received total cash consideration of $146, subject to certain adjustments at closing.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earn-out payment arrangements associated with the transaction. The ACG acquisition was accounted for as a business combination under the acquisition method of accounting. The total purchase price of $146 consisted of $200 paid in cash, net of cash acquired of $14, and a working capital adjustment of negative $68. The purchase price was allocated to the net tangible and intangible assets and liabilities based on their estimated fair values as of the acquisition date, with the excess recorded as goodwill. The Company incurred $11 of transaction costs related to the ACG Acquisition, which were expensed as part of “Office and general.”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Consolidated Statements of Operations for the three and six months ended June 30, 2026, included revenue of $243</w:t>
      </w:r>
      <w:r>
        <w:rPr>
          <w:color w:val="EE2724"/>
        </w:rPr>
        <w:t xml:space="preserve"> </w:t>
      </w:r>
      <w:r>
        <w:rPr>
          <w:rFonts w:ascii="Times New Roman;serif" w:hAnsi="Times New Roman;serif"/>
          <w:b w:val="false"/>
          <w:color w:val="000000"/>
          <w:sz w:val="20"/>
        </w:rPr>
        <w:t>and $471, and net loss of $68 and $151, respectively, from ACG.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is a summary of the fair value of the net assets acquired on the acquisition date:</w:t>
      </w:r>
    </w:p>
    <w:tbl>
      <w:tblPr>
        <w:tblW w:w="4726" w:type="dxa"/>
        <w:jc w:val="left"/>
        <w:tblInd w:w="0" w:type="dxa"/>
        <w:tblLayout w:type="fixed"/>
        <w:tblCellMar>
          <w:top w:w="28" w:type="dxa"/>
          <w:left w:w="28" w:type="dxa"/>
          <w:bottom w:w="28" w:type="dxa"/>
          <w:right w:w="28" w:type="dxa"/>
        </w:tblCellMar>
      </w:tblPr>
      <w:tblGrid>
        <w:gridCol w:w="1204"/>
        <w:gridCol w:w="1060"/>
        <w:gridCol w:w="1066"/>
        <w:gridCol w:w="109"/>
        <w:gridCol w:w="109"/>
        <w:gridCol w:w="109"/>
        <w:gridCol w:w="247"/>
        <w:gridCol w:w="531"/>
        <w:gridCol w:w="137"/>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commissions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Incentive Compensation Plan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maintains the Hudson Global, Inc. 2009 Incentive Stock and Awards Plan, as amended and restated on May 24, 2016 and further amended on September 14, 2020, May 17, 2022, and August 22, 2025 (the “ISAP”),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it can issue equity-based compensation incentives to eligible participants. The ISAP permits the granting of stock options, restricted stock, restricted stock units, and other types of equity-based awards. The Compensation Committee (the “Compensation Committee”) of the Board of Directors (the “Board”) will establish such conditions as it deems appropriate for the granting or vesting of stock options, restricted stock, restricted stock units and other types of equity-based awards. As determined by the Compensation Committee, equity awards may also be subject to immediate vesting upon the occurrence of certain events including death, disability, retirement or a change in control of the Company. When we make grants of restricted stock or restricted stock units to our executive officers, including the named executive officers, we enter into Restricted Stock Agreements and Restricted Stock Unit Agreements with such executive officers that contain provisions that are triggered upon a termination of an executive officer or a change in control of our Company. For awards of restricted stock granted beginning on November 6, 2015, effective upon a change in control of our Company, if the executive is employed by us or an affiliate of ours immediately prior to the date of such change in control and is subsequently terminated within 12 months following the date of such change in control, the shares of restricted stock will fully vest and the restrictions imposed upon the restricted stock will be immediately deemed to have lapsed. For awards of restricted stock units granted beginning on March 10, 2016, effective upon a change in control of our Company, if the executive is employed by us or an affiliate of ours immediately prior to the date of such change in control and is subsequently terminated within 12 months following the date of such change in control, the restricted stock units will fully vest and the restrictions imposed upon the restricted stock units will be immediately deemed to have lapsed. The Company primarily grants restricted stock and restricted stock units to its employees. A restricted stock unit is equivalent to one share of the Company’s common stock and is payable only in common stock of the Company issued under the ISAP.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Compensation Committee administers the ISAP and may designate any of the following as a participant under the ISAP: any officer or other employee of the Company or its affiliates or individuals engaged to become an officer or employee, consultants or other independent contractors who provide services to the Company or its affiliates, and non-employee directors of the Company. On August 21, 2025, the Company’s stockholders at the 2025 Annual Meeting of Stockholders approved amendments to the ISAP to, among other things, increase the number of shares of the Company’s common stock that are reserved for issuance by 400,000 shares and to permit the issuance of 175,000 shares of the Company’s preferred stock. As of June 30, 2026, there were 66,167 shares of the Company’s common stock and 140,320 of shares of preferred stock available for future issuance under the ISAP, respectively.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share issuances related to stock compensation plans are issued from the aforementioned stock available for future issuance under stockholder approved compensation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the Compensation Committee approved the Company’s 2026 long</w:t>
        <w:noBreakHyphen/>
        <w:t>term incentive program (the “2026 LTIP”) under the ISAP. The 2026 LTIP is intended to incent long</w:t>
        <w:noBreakHyphen/>
        <w:t>term shareholder value creation over a three</w:t>
        <w:noBreakHyphen/>
        <w:t>year performance period from January 1, 2026 through December 31, 2028 and provides for awards in the form of restricted stock units (“RSUs”) that may be earned based on the achievement of pre</w:t>
        <w:noBreakHyphen/>
        <w:t>established performance goals and continued service. Awards under the 2026 LTIP are currently denominated in the Company’s common stock; no preferred stock has been issued in connection with the 2026 LTIP.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granted a total of 296,648 RSUs to employees, comprised of: (i) 111,239 performance-based RSUs subject to performance conditions; (ii) 140,178 performance-based RSUs granted under the 2026 LTIP for the three-year period; and (iii) 45,231 time-vested RSUs not subject to performance conditions. The 45,231 time-vested RSUs vest on the first anniversary of the grant date, with each RSU representing the right to receive one share of the Company's common stock upon settlement.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granted 48,688 restricted stock units subject to performance vesting conditions for the year ended December 31, 2025. In connection with the merger completed on August 22, 2025, the Company converted unvested RSU awards previously granted under SOC’s equity incentive plans using an exchange ratio of 0.23 shares of the Company’s common stock for each SOC share. As of the merger date, the assumed awards consisted of 22,717 performance-based RSUs and 6,046 time-based RSUs. These assumed awards remain subject to their original vesting terms and conditions and are recognized as part of the Company’s ongoing stock-based compensation expense.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A summary of the quantity and vesting conditions for stock-based units granted to the Company</w:t>
      </w:r>
      <w:r>
        <w:rPr>
          <w:color w:val="242424"/>
        </w:rPr>
        <w:t>’</w:t>
      </w:r>
      <w:r>
        <w:rPr>
          <w:rFonts w:ascii="Times New Roman;serif" w:hAnsi="Times New Roman;serif"/>
          <w:b w:val="false"/>
          <w:color w:val="000000"/>
          <w:sz w:val="20"/>
        </w:rPr>
        <w:t>s employees for the six months ended June 30, 2026 was as follows:</w:t>
      </w:r>
    </w:p>
    <w:tbl>
      <w:tblPr>
        <w:tblW w:w="8090" w:type="dxa"/>
        <w:jc w:val="left"/>
        <w:tblInd w:w="0" w:type="dxa"/>
        <w:tblLayout w:type="fixed"/>
        <w:tblCellMar>
          <w:top w:w="28" w:type="dxa"/>
          <w:left w:w="28" w:type="dxa"/>
          <w:bottom w:w="28" w:type="dxa"/>
          <w:right w:w="28" w:type="dxa"/>
        </w:tblCellMar>
      </w:tblPr>
      <w:tblGrid>
        <w:gridCol w:w="1326"/>
        <w:gridCol w:w="1163"/>
        <w:gridCol w:w="1170"/>
        <w:gridCol w:w="109"/>
        <w:gridCol w:w="109"/>
        <w:gridCol w:w="109"/>
        <w:gridCol w:w="109"/>
        <w:gridCol w:w="109"/>
        <w:gridCol w:w="109"/>
        <w:gridCol w:w="109"/>
        <w:gridCol w:w="1134"/>
        <w:gridCol w:w="1134"/>
        <w:gridCol w:w="1137"/>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Vesting conditions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Restricted Stock Units Granted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Performance and service conditions - Type 1 </w:t>
            </w:r>
            <w:r>
              <w:rPr>
                <w:rFonts w:ascii="Times New Roman;serif" w:hAnsi="Times New Roman;serif"/>
                <w:b w:val="false"/>
                <w:color w:val="000000"/>
                <w:sz w:val="12"/>
              </w:rPr>
              <w:t>(1)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10,695 </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Performance and service conditions - Type 1 </w:t>
            </w:r>
            <w:r>
              <w:rPr>
                <w:rFonts w:ascii="Times New Roman;serif" w:hAnsi="Times New Roman;serif"/>
                <w:b w:val="false"/>
                <w:color w:val="000000"/>
                <w:sz w:val="12"/>
              </w:rPr>
              <w:t>(2)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240,722 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Service conditions only - Type 2 </w:t>
            </w:r>
            <w:r>
              <w:rPr>
                <w:rFonts w:ascii="Times New Roman;serif" w:hAnsi="Times New Roman;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45,231 </w:t>
            </w:r>
          </w:p>
        </w:tc>
        <w:tc>
          <w:tcPr>
            <w:tcW w:w="1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stock award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296,648 </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1.The performance conditions with respect to restricted stock units may be satisfied as follows: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a.For grants to Corporate office employees subject to 2025 performance conditions, 100% of the restricted stock units may be earned on the basis of performance as measured by a group adjusted EBITDA.</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2.The performance conditions with respect to restricted stock units may be satisfied as follows: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a.For grants to Corporate office employees subject to 2026 performance conditions, 100% of the restricted stock units may be earned on the basis of performance as measured by a group adjusted EBITDA, corporate costs, and other qualitative factors.</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3.To the extent restricted stock units are earned, such restricted stock units will vest on the basis of service as follows:</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a.33% for Type 1 of the restricted stock units will vest on the first anniversary of the grant date;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b.33% for Type 1 of the restricted stock units will vest on the second anniversary of the grant date; and</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c.34% for Type 1 of the restricted stock units will vest on the third anniversary of the grant date; provided that, in each case, the employee remains employed by the Company from the grant date through the applicable service vesting date.</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4.To the extent restricted stock units are earned, such restricted stock units will vest on the basis of service as follows</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a.100% for Type 2 of the restricted stock units will vest on the first anniversary of the grant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maintains the Director Deferred Share Plan (the “Director Plan”) as part of the ISAP pursuant to which it can issue restricted stock units to its non-employee directors. A restricted stock unit is equivalent to one share of the Company’s common stock, and prior to the acquisition of SOC were payable in common stock issued under the ISAP upon a director ceasing service as a member of the Company’s Board. Restricted stock units granted to directors vest over one year. Restricted stock units issued under the Director Plan contain the right to a dividend equivalent award in the form of additional restricted stock units. The dividend equivalent award is calculated using the same rate as the cash dividend paid on a share of the Company’s common stock, and then divided by the closing price of the Company’s common stock on the date the dividend is paid to determine the number of additional restricted stock units to grant. Dividend equivalent awards have the same vesting terms as the underlying awards. During the six months ended June 30, 2026, the Company granted a total of 33,024 RSUs to its non-employee directors.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4,301 restricted stock units are deferred under the Company’s ISAP.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Company’s stock-based compensation expense related to restricted stock units and restricted shares of common stock were as follows:</w:t>
      </w:r>
    </w:p>
    <w:tbl>
      <w:tblPr>
        <w:tblW w:w="6071"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29"/>
        <w:gridCol w:w="195"/>
        <w:gridCol w:w="195"/>
        <w:gridCol w:w="195"/>
        <w:gridCol w:w="195"/>
        <w:gridCol w:w="195"/>
        <w:gridCol w:w="229"/>
        <w:gridCol w:w="195"/>
        <w:gridCol w:w="195"/>
        <w:gridCol w:w="109"/>
        <w:gridCol w:w="109"/>
        <w:gridCol w:w="109"/>
        <w:gridCol w:w="278"/>
        <w:gridCol w:w="278"/>
        <w:gridCol w:w="173"/>
        <w:gridCol w:w="173"/>
        <w:gridCol w:w="173"/>
        <w:gridCol w:w="173"/>
        <w:gridCol w:w="210"/>
        <w:gridCol w:w="211"/>
        <w:gridCol w:w="245"/>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stock units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As of June 30, 2026, the Company had $3,501 of unrecognized stock-based compensation expense related to outstanding unvested restricted stock units. The Company expects to recognize that cost over a weighted average service period of 1.0 years. Restricted stock units have no voting or dividend rights until the awards are vested.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Changes in the Company’s restricted stock units for the six months ended June 30, 2026 and 2025 were as follows:</w:t>
      </w:r>
    </w:p>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357"/>
        <w:gridCol w:w="313"/>
        <w:gridCol w:w="316"/>
        <w:gridCol w:w="470"/>
        <w:gridCol w:w="371"/>
        <w:gridCol w:w="372"/>
        <w:gridCol w:w="114"/>
        <w:gridCol w:w="114"/>
        <w:gridCol w:w="114"/>
        <w:gridCol w:w="257"/>
        <w:gridCol w:w="735"/>
        <w:gridCol w:w="152"/>
        <w:gridCol w:w="109"/>
        <w:gridCol w:w="109"/>
        <w:gridCol w:w="109"/>
        <w:gridCol w:w="470"/>
        <w:gridCol w:w="371"/>
        <w:gridCol w:w="372"/>
        <w:gridCol w:w="110"/>
        <w:gridCol w:w="110"/>
        <w:gridCol w:w="110"/>
        <w:gridCol w:w="260"/>
        <w:gridCol w:w="739"/>
        <w:gridCol w:w="146"/>
        <w:gridCol w:w="109"/>
        <w:gridCol w:w="109"/>
        <w:gridCol w:w="109"/>
        <w:gridCol w:w="470"/>
        <w:gridCol w:w="371"/>
        <w:gridCol w:w="372"/>
        <w:gridCol w:w="109"/>
        <w:gridCol w:w="109"/>
        <w:gridCol w:w="109"/>
        <w:gridCol w:w="260"/>
        <w:gridCol w:w="739"/>
        <w:gridCol w:w="146"/>
        <w:gridCol w:w="109"/>
        <w:gridCol w:w="109"/>
        <w:gridCol w:w="109"/>
        <w:gridCol w:w="166"/>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Time-based/Director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 Units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 Units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January 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197,485 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259,751 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251,417 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(17,118)</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June 30, 2026</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273,057 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235,709 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508,766 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erif" w:hAnsi="Times New Roman;serif"/>
          <w:b w:val="false"/>
          <w:color w:val="FFFFFF"/>
          <w:sz w:val="4"/>
        </w:rPr>
        <w:t>(a)    The number of shares earned above target are based on the performance target established by the Compensation Committee at the initial grant date.</w:t>
      </w:r>
    </w:p>
    <w:p>
      <w:pPr>
        <w:pStyle w:val="TextBody"/>
        <w:bidi w:val="0"/>
        <w:spacing w:before="100" w:after="283"/>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20"/>
        <w:gridCol w:w="403"/>
        <w:gridCol w:w="375"/>
        <w:gridCol w:w="376"/>
        <w:gridCol w:w="114"/>
        <w:gridCol w:w="114"/>
        <w:gridCol w:w="114"/>
        <w:gridCol w:w="259"/>
        <w:gridCol w:w="741"/>
        <w:gridCol w:w="153"/>
        <w:gridCol w:w="109"/>
        <w:gridCol w:w="109"/>
        <w:gridCol w:w="109"/>
        <w:gridCol w:w="473"/>
        <w:gridCol w:w="375"/>
        <w:gridCol w:w="376"/>
        <w:gridCol w:w="110"/>
        <w:gridCol w:w="110"/>
        <w:gridCol w:w="110"/>
        <w:gridCol w:w="262"/>
        <w:gridCol w:w="745"/>
        <w:gridCol w:w="148"/>
        <w:gridCol w:w="109"/>
        <w:gridCol w:w="109"/>
        <w:gridCol w:w="109"/>
        <w:gridCol w:w="473"/>
        <w:gridCol w:w="375"/>
        <w:gridCol w:w="376"/>
        <w:gridCol w:w="109"/>
        <w:gridCol w:w="109"/>
        <w:gridCol w:w="109"/>
        <w:gridCol w:w="262"/>
        <w:gridCol w:w="745"/>
        <w:gridCol w:w="148"/>
        <w:gridCol w:w="109"/>
        <w:gridCol w:w="109"/>
        <w:gridCol w:w="109"/>
        <w:gridCol w:w="162"/>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Time-based/Director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 Units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 Units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January 1, 2025</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128,474 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184,065 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(18,802)</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June 30, 2025</w:t>
            </w:r>
          </w:p>
        </w:tc>
        <w:tc>
          <w:tcPr>
            <w:tcW w:w="7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121,556 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FFFFFF"/>
          <w:sz w:val="4"/>
        </w:rPr>
        <w:t>(a)    The number of shares earned above target are based on the performance target established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Under ASC 270, “Interim Reporting”, and ASC 740-270, “Income Taxes – Interim Reporting”, the Company is required to adjust its effective tax rate for each quarter to be consistent with the estimated annual effective tax rate. Jurisdictions with a projected loss for the full year where no tax benefit can be recognized are excluded from the calculation of the estimated annual effective tax rate. Applying the provisions of ASC 270 and ASC 740-270 could result in a higher or lower effective tax rate during a particular quarter, based upon the mix and timing of actual earnings versus annual projections.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Effective Tax Rate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The provision for income taxes for the six months ended June 30, 2026 was $4 on a pre-tax loss of $5,637, compared to a provision for income taxes of $377 on pre-tax loss of $2,067 for the same period in 2025. The Company’s effective income tax rate ("ETR") was negative 0.08% and negative 18% for the six months ended June 30, 2026 and 2025, respectively. For the six months ended June 30, 2026, the effective tax rates differed from the U.S. Federal statutory rate of 21% primarily due to pretax losses for which no tax benefit can be recognized, foreign tax rate differences, and non-deductible expenses. For the six months ended June 30, 2025, the effective tax rates differed from the U.S. Federal statutory rate of 21% primarily due to pretax losses for which no tax benefit can be recognized, foreign tax rate differences, and non-deductible expenses. The current year-to-date effective tax rate differs significantly from the prior period effective tax rate primarily due to the interaction of rate reconciliation items, including changes in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Uncertain Tax Positions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As of both June 30, 2026 and December 31, 2025, the Company had $60, respectively, of unrecognized tax benefits, excluding interest and penalties, which, if recognized in the future, would lower the Company’s effective income tax rate.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The Company recognizes accrued interest and penalties related to unrecognized tax benefits as part of the provision for income taxes. As of June 30, 2026 and December 31, 2025, the Company had $41 and $39, respectively, of accrued interest and penalties associated with unrecognized tax benefits.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many cases, the Company’s unrecognized tax benefits are related to tax years that remain subject to examination by the relevant tax authorities. Tax years with net operating losses (“NOLs”) remain open until such losses expire or until the statutes of limitations for those years when the NOLs are used expire. As of June 30, 2026, the Company’s open tax years, which remain subject to examination by the relevant tax authorities, are between 2016 and 2026 depending on the jurisdiction.</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 believes that its unrecognized tax benefits as of June 30, 2026 are appropriately reflected for all years subject to examination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Operating Losses (“NOLs”), Capital Losses, and Valuation Allowance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 valuation allowance against all of our consolidated US deferred tax assets for NOLs and Capital Losses as of June 30, 2026 and December 31, 2025. We intend to continue maintaining a full valuation allowance on our deferred tax assets for NOLs until there is sufficient evidence to support the reversal of all or some portion of these allowances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Within our Building Solutions and Energy Services segments, accounts receivable consist principally of trade receivables from customers. These are recorded at the invoiced amount and are generally unsecured and due within 30 days. Trade receivables do not bear interest. We use an expected loss methodology. This methodology includes information about past events, current economic conditions and reasonable and supportable forecasts that impact the collectability of the reported amounts of the receivables over their lifetime. Within the Current Expected Credit Losses (“CECL”) guidelines, we utilize a “probability of default” methodology to determine expected credit losses under the CECL model. Account balances are charged off against the allowance when we believe it is probable the receivable will not be recovered. Our “probability of default” methodology principally entails evaluating the collectability of our trade receivables and providing reserves for doubtful accounts based on our historical experience rate, known collectability issues and disputes, and our bad debt write-off history. Within our Business Services segment, accounts receivable balances are composed of trade and unbilled receivables. Unbilled accounts receivable represent revenue recorded in advance of processing formal invoices pursuant to the completion of contract provisions and, generally, become billable at contractually specified dates.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estimates of collectability could be impacted by material amounts due to changed circumstances, such as a higher number of defaults or material adverse changes in a payor’s ability to meet its obligations. Expected credit losses related to trade accounts receivable are recorded as an allowance for doubtful accounts within accounts receivable, net in the Condensed Consolidated Balance Sheets, and the related provision for doubtful accounts is charged to office and general expenses. We do not have any off-balance sheet credit exposure related to our customers.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Unbilled receivables of $4,042 and $6,960 as of June 30, 2026 and December 31, 2025, respectively, are expected to be invoiced and collected within one year. The Company records accounts receivable when its right to consideration becomes unconditional. Contract assets primarily relate to our rights to consideration for services provided that are conditioned on satisfaction of future performance obligations. Accounts receivable, net, are stated at the amount the Company expects to collect, which is net of estimated losses resulting from the inability of its customers to make required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“Accounts receivable, net” as presented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614" w:type="dxa"/>
        <w:jc w:val="left"/>
        <w:tblInd w:w="0" w:type="dxa"/>
        <w:tblLayout w:type="fixed"/>
        <w:tblCellMar>
          <w:top w:w="28" w:type="dxa"/>
          <w:left w:w="28" w:type="dxa"/>
          <w:bottom w:w="28" w:type="dxa"/>
          <w:right w:w="28" w:type="dxa"/>
        </w:tblCellMar>
      </w:tblPr>
      <w:tblGrid>
        <w:gridCol w:w="983"/>
        <w:gridCol w:w="862"/>
        <w:gridCol w:w="870"/>
        <w:gridCol w:w="109"/>
        <w:gridCol w:w="109"/>
        <w:gridCol w:w="109"/>
        <w:gridCol w:w="196"/>
        <w:gridCol w:w="646"/>
        <w:gridCol w:w="109"/>
        <w:gridCol w:w="109"/>
        <w:gridCol w:w="109"/>
        <w:gridCol w:w="109"/>
        <w:gridCol w:w="235"/>
        <w:gridCol w:w="775"/>
        <w:gridCol w:w="130"/>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provision for expected credit losses and write-offs:</w:t>
      </w:r>
    </w:p>
    <w:tbl>
      <w:tblPr>
        <w:tblW w:w="7006" w:type="dxa"/>
        <w:jc w:val="left"/>
        <w:tblInd w:w="0" w:type="dxa"/>
        <w:tblLayout w:type="fixed"/>
        <w:tblCellMar>
          <w:top w:w="28" w:type="dxa"/>
          <w:left w:w="28" w:type="dxa"/>
          <w:bottom w:w="28" w:type="dxa"/>
          <w:right w:w="28" w:type="dxa"/>
        </w:tblCellMar>
      </w:tblPr>
      <w:tblGrid>
        <w:gridCol w:w="956"/>
        <w:gridCol w:w="839"/>
        <w:gridCol w:w="845"/>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debt outstanding as of June 30, 2026 and December 31, 2025 is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07"/>
        <w:gridCol w:w="851"/>
        <w:gridCol w:w="854"/>
        <w:gridCol w:w="109"/>
        <w:gridCol w:w="109"/>
        <w:gridCol w:w="109"/>
        <w:gridCol w:w="196"/>
        <w:gridCol w:w="646"/>
        <w:gridCol w:w="109"/>
        <w:gridCol w:w="109"/>
        <w:gridCol w:w="109"/>
        <w:gridCol w:w="109"/>
        <w:gridCol w:w="705"/>
        <w:gridCol w:w="705"/>
        <w:gridCol w:w="707"/>
        <w:gridCol w:w="109"/>
        <w:gridCol w:w="109"/>
        <w:gridCol w:w="109"/>
        <w:gridCol w:w="196"/>
        <w:gridCol w:w="646"/>
        <w:gridCol w:w="109"/>
        <w:gridCol w:w="109"/>
        <w:gridCol w:w="109"/>
        <w:gridCol w:w="109"/>
        <w:gridCol w:w="633"/>
        <w:gridCol w:w="633"/>
        <w:gridCol w:w="900"/>
      </w:tblGrid>
      <w:tr>
        <w:trPr/>
        <w:tc>
          <w:tcPr>
            <w:tcW w:w="100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 KeyBank KBS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 Premier EBGL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7.25%</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 Austin ADT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 NAB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7.36%</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Short-term 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7.64%</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Austin - ADT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Secured by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Bridgewater - TT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7.85%</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Short-term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7.70%</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Austin - ADT 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Secured by Mortgage,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Bridgewater - TT 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7.85%</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 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7.80%</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7.74%</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Austin Loan Agreement</w:t>
      </w:r>
    </w:p>
    <w:p>
      <w:pPr>
        <w:pStyle w:val="TextBody"/>
        <w:bidi w:val="0"/>
        <w:spacing w:before="0" w:after="0"/>
        <w:ind w:left="0" w:right="0" w:firstLine="36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 2025, ADT entered into a Loan and Security Agreement (the “Austin Loan Agreement”) with Austin Financial Services, Inc. (“Austin” or "AFS") providing ADT with a working capital line of credit of up to $3,000 and a term loan originally proposed of up to $800, subject to the conditions and procedures set forth in the Austin Loan Agreement. Availability under the Austin Loan Agreement is based on a formula tied to ADT’s eligible accounts receivable, inventory, and equipment, and borrowings bear interest at the prime rate plus 1.75%, with interest payable monthly and the outstanding principal balance payable March 3, 2028 (the “Maturity Date”). Based on AFS’s appraisal of ADT’s machinery and equipment, AFS reduced the term loan commitment to $638. The Austin Loan Agreement also provides for certain fees payable to Austin during its term. The term loan payment is approximately $13 per month. The loan is secured by substantially all of the assets of ADT and is subject to certain covenants. Under the terms of the AFS loan agreement, the Company is required to provide various financial and collateral reports to the lender on a regular basis. These reports include weekly availability and cash activity summaries, monthly accounts receivable and accounts payable agings, inventory reports, balance sheets, and income statements, as well as annual financial statements reviewed by an independent CPA, if requested. The Company must also provide any additional financial or operational information upon the lender’s request.</w:t>
      </w:r>
    </w:p>
    <w:p>
      <w:pPr>
        <w:pStyle w:val="TextBody"/>
        <w:bidi w:val="0"/>
        <w:spacing w:before="0" w:after="0"/>
        <w:jc w:val="left"/>
        <w:rPr/>
      </w:pPr>
      <w:r>
        <w:rPr/>
      </w:r>
    </w:p>
    <w:p>
      <w:pPr>
        <w:pStyle w:val="TextBody"/>
        <w:bidi w:val="0"/>
        <w:spacing w:lineRule="auto" w:line="288" w:before="0" w:after="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There are no specific financial covenants related to ratios, thresholds, or performance metrics under the AFS facility. However, failure to timely submit the required financial reports constitutes an event of default under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Premier Facility</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16, 2023, EdgeBuilder and Glenbrook (referred to herein as the “EBGL Borrowers”), entered into a Revolving Credit Loan Agreement with Premier Bank (“Premier”), which was subsequently amended on December 5, 2023 to provide the EBGL Borrowers with a working capital line of credit of up to $6,000 (the “Premier Loan Agreement”). Availability under the Premier Loan Agreement is based on a formula tied to the EBGL Borrowers’ eligible accounts receivable, inventory, and equipment. Borrowings under the Premier Loan Agreement bear interest at the prime rate plus 0.50% (and a minimum interest rate of 6.75%), with interest payable monthly and the outstanding principal balance payable upon expiration of the term of the Premier Loan Agreement. The Premier Loan Agreement also provides for certain fees payable to Premier during its term. The initial term of the Premier Loan Agreement expired on December 5, 2024 but may be extended from time to time at the request of the EBGL Borrowers, subject to approval by Premier. The term of the Premier Loan Agreement has been extended to December 5, 2026. The EBGL Borrowers’ obligations under the Premier Loan Agreement are guaranteed by the Company and secured by all of their inventory, equipment, accounts receivable, and other intangibles. As of June 30, 2026, availability under the Premier Loan Agreement was approximately $2,397. Premier holds $600 of restricted cash associated with the Premier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covenants associated with the Premier Loan Agreement require that at the end of each calendar year the EBGL Borrowers maintain (a) a debt service coverage ratio for any calendar year of greater than 1.25; (b) a debt-to-equity ratio of less than 1.65; (c) a fixed charge coverage ratio of greater than 1.10; (d) working capital of at least $2 million; and (e) a current ratio of at least 1.50. As of December 31, 2025, the EBGL Borrowers were in compliance with the Premier Loan Agreement covenants.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KeyBank Facility</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2024, KBS entered into a Loan and Security Agreement (the “KeyBank Loan Agreement”) with KeyBank National Association (“KeyBank”) providing KBS with a working capital line of credit of up to $4.0 million, subject to the conditions and procedures set forth in the KeyBank Loan Agreement. All borrowings under the KeyBank Loan Agreement bear interest at the Adjusted Daily SOFR Rate (as defined in the KeyBank Loan Agreement) plus 3%, with interest payable monthly and the outstanding principal balance payable on April 30, 2025 (the “Maturity Date”). The KeyBank Loan Agreement expires on the Maturity Date but may be extended from time to time at the request of KBS, subject to approval by KeyBank. SOC signed an extension on July 29, 2025 extending the Maturity Date to July 29, 2026. The Company signed a further extension on July 31, 2026 extending the Maturity Date to October 27, 2026. The KeyBank Loan Agreement also provides for certain fees payable to KeyBank. KBS’ obligations under the KeyBank Loan Agreement are guaranteed by SOC and secured by all of KBS’ inventory, equipment, accounts and other intangibles, if applicable, and all proceeds of the foregoing. Simultaneous with the execution of the KeyBank Loan Agreement, SOC entered into that certain Guaranty, dated April 24, 2024 (the “Guaranty”), pursuant to which SOC agreed to guarantee all amounts borrowed by KBS under the KeyBank Loan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KeyBank Loan Agreement requires that KBS maintain a ratio of its Operating Cash Flow to its Total Fixed Charges of at least 1.25 to 1.00, measured quarterly (the "FCCR Covenant"). KBS did not meet the FCCR Covenant as of June 30, 2026. The Company has requested a waiver from KeyBank. Amounts outstanding under the KeyBank Loan Agreement are classified as current liabilities in the condensed consolidated balance sheets. The availability under the line of credit was $3,318 as of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Term Loan Secured by Mortgage</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28, 2024, in connection with SOC's acquisition of substantially all of the assets used in the business of Timber Technologies, Inc. which closed on May 17, 2024, Timber Properties, LLC (“Timber Properties”), an affiliate of the Seller, sold to 106 Bremer, LLC, a wholly owned subsidiary of the Company (“106 Bremer”), all of Timber Properties’ Owned Real Property pursuant to a Real Estate Sales Agreement for $3,000 plus closing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purchase of the Owned Real Property, on June 28, 2024, 106 Bremer issued a Promissory Note in the principal amount of $3,000 (the “TT Property Note”) secured by a Mortgage (the “TT Property Mortgage”) on the Owned Real Property to Timber Properties. All borrowings under the TT Property Note bear interest at 7.50%, with interest payable quarterly and the outstanding principal balance payable on June 29, 2034.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Bridgewater Facility</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TT Acquisition, on May 17, 2024, Timber Technologies Solutions, Inc., a wholly owned subsidiary of SOC, (the “Borrower”), entered into a Loan Agreement (the “Bridgewater Loan Agreement”) with Bridgewater Bank (“Bridgewater”) and issued a Term Promissory Note to Bridgewater in the amount of $7,000 thereunder (the “Facility”). All borrowings under the Facility bear interest at 7.85%, with interest payable monthly and the outstanding principal balance payable on May 20, 2029 (the “Maturity Date”). The Bridgewater Loan Agreement also provides for certain fees payable to Bridgewater during its term. The Borrower’s obligations under the Facility are guaranteed by the Company and secured by all of the Borrower’s inventory, equipment, accounts receivable, and other intangibles.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Bridgewater Loan agreement, an amount of $1,000 was required to be deposited with Bridgewater and be under the sole dominion and control of Bridgewater, and SOC shall not have any control over the use of, or any right to withdraw any amount of the restricted deposit. In the event that SOC maintains compliance with all of the financial covenants set forth in the Bridgewater Loan Agreement for four consecutive measurement dates, Bridgewater shall release a portion of the deposit. As of June 30, 2026, Bridgewater has released $500. The remaining $500 deposit is recorded in Restricted cash, non current in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covenants require that TT maintain (i) a ratio of Cash Flow to Total Fixed Charges of not less than 1.30 to 1.00 as measured on each applicable Measurement Date on a trailing twelve (12) month basis; (ii) maintain a ratio of Senior Funded Debt to trailing twelve (12) month Adjusted EBITDA not to exceed 3.00 to 1.00 as measured on each applicable Measurement Date for a Measurement Period; (iii) maintain a ratio of Total Funded Debt to trailing twelve (12) month Adjusted EBITDA not to exceed 4.00 to 1.00 as measured on each applicable Measurement Date for a Measurement Period. TT was in compliance with its covenants as of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Invoice Finance Credit Facility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On April 8, 2019, the Company’s Australian subsidiary (“Australian Borrower”) entered into an invoice finance credit facility agreement (the “NAB Facility Agreement”) with National Australia Bank Limited (“NAB”). The NAB Facility Agreement provides the Australian Borrower with the ability to borrow funds based on a percentage of eligible trade receivables up to a maximum of 4 million Australian dollars. No receivables have terms greater than 90 days, and any risk of loss is retained by the Australian Borrower. The interest rate is calculated as the variable receivable finance indicator rate, plus a margin of 1.60% per annum. Borrowings under this facility are secured by substantially all of the assets of the Australian Borrower. The NAB Facility Agreement does not have a stated maturity date and can be terminated by either the Australian Borrower or NAB upon 90 days written notice. As of June 30, 2026, there was $1,470 outstanding under the NAB Facility Agreement. Interest expense and fees incurred on the NAB Facility Agreement were $35 and $64 for the three and six months ended June 30, 2026, and $4 and $8 for the three and six months ended June 30, 2025, respectively.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NAB Facility Agreement contains various restrictions and covenants for the Australian Borrower including (1) that EBITDA must be at least two times total interest paid on debt on a 12-month rolling basis; (2) minimum tangible net worth must be at least 2.5 million Australian dollars and be equal to at least 25% of total tangible assets on June 30 and December 31 (as defined in the NAB Facility Agreement); and (3) additional periodic reporting requirements to NAB. The Australian Borrower was in compliance with all financial covenants under the NAB Facility Agreement as of June 30, 2026.</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Amounts borrowed from the NAB Facility may be large, contain short maturities and have quick turnovers. Amounts borrowed and repaid are presented on a net basis on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Lessee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operating and finance leases for corporate offices, vehicles, and certain equipment. Our leases have remaining lease terms of 1 year to 20 years. Some of the leases include options to extend the leases and some include options to terminate the lease within 1 year. Operating leases and finance leases are included separately in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16, 2025, ADT entered into three purchase and sale agreements with Custom Capital Strategies, Inc. (“Custom Capital”), pursuant to which the parties agreed to consummate three sale and leaseback transactions of three different properties in Texas, Utah, and Wyoming.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2026, the property located at 101-107 Pasture Drive, Evanston, Wyoming, was sold for a total purchase price of $1.7 million, subject to adjustment for taxes and other charges and assessments. Thereafter, Custom Capital assigned their rights to buy the property to their affiliate, Pasture Drive Holdings, LLC (the “ADT Wyoming Buyer”).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27, 2026 the property located at 3601 N County Rd 1148, Midland, Texas, was sold for a total purchase price of $1.1 million, and the property located at 1377 East 1500 South, Vernal, Utah was sold for a total purchase price of $0.6 million. Both purchase prices are subject to adjustment for taxes and other charges and assessments. Immediately prior to the closings Custom Capital assigned their rights to buy the property to, Alliance Texas and Utah, LLC (the “ADT Property Buyer”).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Simultaneously with the consummation of the above sales, ADT entered into three commercial single-tenant triple net leases with the ADT Wyoming Buyer and the ADT Property Buyer, guaranteed by the Company, pursuant to which ADT leased back from the ADT Wyoming Buyer and the ADT Property Buyer the above properties sold for terms commencing on February 27, 2026 and on March 27, 2026, respectively, and ending on the 20th anniversaries thereof, unless earlier terminated or extended for four additional five year periods. Pursuant to the terms of the lease agreements, ADT will be responsible for rent and all monthly expenses related to the properties, including insurance premiums, taxes, utilities, and other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sale leasebacks meet the qualification of operating leases under ASC 842, “Leases” in that (i) they do not automatically transfer title to the lessee at the end of the lease term; (ii) they do not contain a bargain purchase option; (iii) the lease term is not for a major part of the estimated remaining useful life of the asset; (iv) the present value of the lease payments does not represent substantially all of the fair value of the underlying assets; and (v) the underlying assets are not of such a specialized nature that are assumed to have no alternative use to the lessor at the end of the lease term. Accordingly, the Company recognized the resulting gain on sale of $37 in full in “Other income (expense), net” in the period in which the buyer obtained control of the assets, representing the excess of the aggregate sale proceeds of $3,211 net of closing fees over the aggregate carrying value of the properties of $3,174, and no portion of the gain was deferred. The related right</w:t>
        <w:noBreakHyphen/>
        <w:t>of</w:t>
        <w:noBreakHyphen/>
        <w:t>use assets and lease liabilities arising from the sale leasebacks are accounted for in accordance with ASC 842 and are presented within operating lease right</w:t>
        <w:noBreakHyphen/>
        <w:t>of</w:t>
        <w:noBreakHyphen/>
        <w:t>use assets and operating lease liabilities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used our incremental borrowing rate as the discount rate for these sale leaseback transactions, as the rate implicit in the lease is not readily determinable. We estimated our incremental borrowing rate based on our Company credit rating, adjusted for the lease’s term and the collateralized nature of the lease obligations. Lease extensions are not reasonably certain of being exercised. As such, we have not included such extensions in determining our incremental borrowing rate or in our initial valuation of the lease assets and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expense are as follows: </w:t>
      </w:r>
    </w:p>
    <w:tbl>
      <w:tblPr>
        <w:tblW w:w="7046" w:type="dxa"/>
        <w:jc w:val="left"/>
        <w:tblInd w:w="0" w:type="dxa"/>
        <w:tblLayout w:type="fixed"/>
        <w:tblCellMar>
          <w:top w:w="28" w:type="dxa"/>
          <w:left w:w="28" w:type="dxa"/>
          <w:bottom w:w="28" w:type="dxa"/>
          <w:right w:w="28" w:type="dxa"/>
        </w:tblCellMar>
      </w:tblPr>
      <w:tblGrid>
        <w:gridCol w:w="960"/>
        <w:gridCol w:w="845"/>
        <w:gridCol w:w="84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related to leases was as follows: </w:t>
      </w:r>
    </w:p>
    <w:tbl>
      <w:tblPr>
        <w:tblW w:w="7325" w:type="dxa"/>
        <w:jc w:val="left"/>
        <w:tblInd w:w="0" w:type="dxa"/>
        <w:tblLayout w:type="fixed"/>
        <w:tblCellMar>
          <w:top w:w="28" w:type="dxa"/>
          <w:left w:w="28" w:type="dxa"/>
          <w:bottom w:w="28" w:type="dxa"/>
          <w:right w:w="28" w:type="dxa"/>
        </w:tblCellMar>
      </w:tblPr>
      <w:tblGrid>
        <w:gridCol w:w="1827"/>
        <w:gridCol w:w="1601"/>
        <w:gridCol w:w="1611"/>
        <w:gridCol w:w="109"/>
        <w:gridCol w:w="109"/>
        <w:gridCol w:w="109"/>
        <w:gridCol w:w="196"/>
        <w:gridCol w:w="556"/>
        <w:gridCol w:w="109"/>
        <w:gridCol w:w="109"/>
        <w:gridCol w:w="109"/>
        <w:gridCol w:w="109"/>
        <w:gridCol w:w="196"/>
        <w:gridCol w:w="421"/>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leases was as follows: </w:t>
      </w:r>
    </w:p>
    <w:tbl>
      <w:tblPr>
        <w:tblW w:w="7026"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78"/>
        <w:gridCol w:w="278"/>
        <w:gridCol w:w="627"/>
        <w:gridCol w:w="109"/>
        <w:gridCol w:w="109"/>
        <w:gridCol w:w="109"/>
        <w:gridCol w:w="333"/>
        <w:gridCol w:w="333"/>
        <w:gridCol w:w="92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committed to making future cash payments on non-cancelable operating leases and finance leases (including interest). The future minimum lease payments due under both non-cancelable operating leases and finance leases having initial or remaining lease terms in excess of one year as of June 30, 2026 were as follows:</w:t>
      </w:r>
    </w:p>
    <w:tbl>
      <w:tblPr>
        <w:tblW w:w="6172" w:type="dxa"/>
        <w:jc w:val="left"/>
        <w:tblInd w:w="0" w:type="dxa"/>
        <w:tblLayout w:type="fixed"/>
        <w:tblCellMar>
          <w:top w:w="28" w:type="dxa"/>
          <w:left w:w="28" w:type="dxa"/>
          <w:bottom w:w="28" w:type="dxa"/>
          <w:right w:w="28" w:type="dxa"/>
        </w:tblCellMar>
      </w:tblPr>
      <w:tblGrid>
        <w:gridCol w:w="1005"/>
        <w:gridCol w:w="883"/>
        <w:gridCol w:w="886"/>
        <w:gridCol w:w="109"/>
        <w:gridCol w:w="109"/>
        <w:gridCol w:w="109"/>
        <w:gridCol w:w="296"/>
        <w:gridCol w:w="978"/>
        <w:gridCol w:w="165"/>
        <w:gridCol w:w="109"/>
        <w:gridCol w:w="109"/>
        <w:gridCol w:w="109"/>
        <w:gridCol w:w="433"/>
        <w:gridCol w:w="532"/>
        <w:gridCol w:w="340"/>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(for the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GOODWILL AND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the six months ended June 30, 2026 and the twelve months ended December 31, 2025, the changes in carrying amount of goodwill were as follows:</w:t>
      </w:r>
      <w:r>
        <w:rPr>
          <w:color w:val="242424"/>
        </w:rPr>
        <w:t xml:space="preserve"> </w:t>
      </w:r>
    </w:p>
    <w:p>
      <w:pPr>
        <w:pStyle w:val="TextBody"/>
        <w:bidi w:val="0"/>
        <w:spacing w:before="0" w:after="0"/>
        <w:ind w:left="0" w:right="0" w:firstLine="720"/>
        <w:jc w:val="both"/>
        <w:rPr/>
      </w:pPr>
      <w:r>
        <w:rPr/>
      </w:r>
    </w:p>
    <w:tbl>
      <w:tblPr>
        <w:tblW w:w="3785" w:type="dxa"/>
        <w:jc w:val="left"/>
        <w:tblInd w:w="0" w:type="dxa"/>
        <w:tblLayout w:type="fixed"/>
        <w:tblCellMar>
          <w:top w:w="28" w:type="dxa"/>
          <w:left w:w="28" w:type="dxa"/>
          <w:bottom w:w="28" w:type="dxa"/>
          <w:right w:w="28" w:type="dxa"/>
        </w:tblCellMar>
      </w:tblPr>
      <w:tblGrid>
        <w:gridCol w:w="683"/>
        <w:gridCol w:w="602"/>
        <w:gridCol w:w="605"/>
        <w:gridCol w:w="109"/>
        <w:gridCol w:w="109"/>
        <w:gridCol w:w="109"/>
        <w:gridCol w:w="297"/>
        <w:gridCol w:w="843"/>
        <w:gridCol w:w="165"/>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174" w:type="dxa"/>
        <w:jc w:val="left"/>
        <w:tblInd w:w="0" w:type="dxa"/>
        <w:tblLayout w:type="fixed"/>
        <w:tblCellMar>
          <w:top w:w="28" w:type="dxa"/>
          <w:left w:w="28" w:type="dxa"/>
          <w:bottom w:w="28" w:type="dxa"/>
          <w:right w:w="28" w:type="dxa"/>
        </w:tblCellMar>
      </w:tblPr>
      <w:tblGrid>
        <w:gridCol w:w="824"/>
        <w:gridCol w:w="726"/>
        <w:gridCol w:w="729"/>
        <w:gridCol w:w="109"/>
        <w:gridCol w:w="109"/>
        <w:gridCol w:w="109"/>
        <w:gridCol w:w="297"/>
        <w:gridCol w:w="843"/>
        <w:gridCol w:w="165"/>
        <w:gridCol w:w="109"/>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consisted of the following components as of June 30,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26"/>
        <w:gridCol w:w="554"/>
        <w:gridCol w:w="535"/>
        <w:gridCol w:w="109"/>
        <w:gridCol w:w="109"/>
        <w:gridCol w:w="109"/>
        <w:gridCol w:w="1226"/>
        <w:gridCol w:w="1226"/>
        <w:gridCol w:w="1229"/>
        <w:gridCol w:w="109"/>
        <w:gridCol w:w="109"/>
        <w:gridCol w:w="109"/>
        <w:gridCol w:w="280"/>
        <w:gridCol w:w="795"/>
        <w:gridCol w:w="155"/>
        <w:gridCol w:w="109"/>
        <w:gridCol w:w="109"/>
        <w:gridCol w:w="109"/>
        <w:gridCol w:w="251"/>
        <w:gridCol w:w="733"/>
        <w:gridCol w:w="142"/>
        <w:gridCol w:w="109"/>
        <w:gridCol w:w="109"/>
        <w:gridCol w:w="109"/>
        <w:gridCol w:w="246"/>
        <w:gridCol w:w="699"/>
        <w:gridCol w:w="200"/>
      </w:tblGrid>
      <w:tr>
        <w:trPr/>
        <w:tc>
          <w:tcPr>
            <w:tcW w:w="62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Remaining Amortization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Carrying </w:t>
              <w:br/>
              <w:t>Amount</w:t>
            </w:r>
          </w:p>
        </w:tc>
      </w:tr>
      <w:tr>
        <w:trPr/>
        <w:tc>
          <w:tcPr>
            <w:tcW w:w="1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2"/>
        <w:gridCol w:w="531"/>
        <w:gridCol w:w="533"/>
        <w:gridCol w:w="109"/>
        <w:gridCol w:w="109"/>
        <w:gridCol w:w="109"/>
        <w:gridCol w:w="1226"/>
        <w:gridCol w:w="1226"/>
        <w:gridCol w:w="1229"/>
        <w:gridCol w:w="109"/>
        <w:gridCol w:w="109"/>
        <w:gridCol w:w="109"/>
        <w:gridCol w:w="280"/>
        <w:gridCol w:w="795"/>
        <w:gridCol w:w="155"/>
        <w:gridCol w:w="109"/>
        <w:gridCol w:w="109"/>
        <w:gridCol w:w="109"/>
        <w:gridCol w:w="251"/>
        <w:gridCol w:w="733"/>
        <w:gridCol w:w="142"/>
        <w:gridCol w:w="109"/>
        <w:gridCol w:w="109"/>
        <w:gridCol w:w="109"/>
        <w:gridCol w:w="246"/>
        <w:gridCol w:w="699"/>
        <w:gridCol w:w="199"/>
      </w:tblGrid>
      <w:tr>
        <w:trPr/>
        <w:tc>
          <w:tcPr>
            <w:tcW w:w="65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Remaining Amortization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Carrying </w:t>
              <w:br/>
              <w:t>Amount</w:t>
            </w:r>
          </w:p>
        </w:tc>
      </w:tr>
      <w:tr>
        <w:trPr/>
        <w:tc>
          <w:tcPr>
            <w:tcW w:w="1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erif" w:hAnsi="Times New Roman;serif"/>
          <w:b w:val="false"/>
          <w:color w:val="242424"/>
          <w:sz w:val="20"/>
        </w:rPr>
        <w:t xml:space="preserve">Amortization expense for the three and six months ended June 30, 2026 was </w:t>
      </w:r>
      <w:r>
        <w:rPr>
          <w:rFonts w:ascii="Times New Roman;serif" w:hAnsi="Times New Roman;serif"/>
          <w:b w:val="false"/>
          <w:color w:val="000000"/>
          <w:sz w:val="20"/>
        </w:rPr>
        <w:t xml:space="preserve">$170 and $329, respectively. </w:t>
      </w:r>
      <w:r>
        <w:rPr>
          <w:rFonts w:ascii="Times New Roman;serif" w:hAnsi="Times New Roman;serif"/>
          <w:b w:val="false"/>
          <w:color w:val="242424"/>
          <w:sz w:val="20"/>
        </w:rPr>
        <w:t>Intangible assets are amortized on a straight-line basis over their estimated useful lives. No impairment in the value of amortizable intangible assets was recognized during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intangible assets for the remainder of the fiscal year ending December 31, 2026, and for each of the next fiscal years are as follows:</w:t>
      </w:r>
    </w:p>
    <w:p>
      <w:pPr>
        <w:pStyle w:val="TextBody"/>
        <w:bidi w:val="0"/>
        <w:spacing w:before="0" w:after="0"/>
        <w:jc w:val="both"/>
        <w:rPr/>
      </w:pPr>
      <w:r>
        <w:rPr/>
      </w:r>
    </w:p>
    <w:tbl>
      <w:tblPr>
        <w:tblW w:w="2401"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109"/>
        <w:gridCol w:w="109"/>
        <w:gridCol w:w="109"/>
        <w:gridCol w:w="196"/>
        <w:gridCol w:w="55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book value of amortizable intangible assets is as follows: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1"/>
        <w:gridCol w:w="590"/>
        <w:gridCol w:w="593"/>
        <w:gridCol w:w="109"/>
        <w:gridCol w:w="109"/>
        <w:gridCol w:w="109"/>
        <w:gridCol w:w="335"/>
        <w:gridCol w:w="958"/>
        <w:gridCol w:w="189"/>
        <w:gridCol w:w="109"/>
        <w:gridCol w:w="109"/>
        <w:gridCol w:w="109"/>
        <w:gridCol w:w="273"/>
        <w:gridCol w:w="565"/>
        <w:gridCol w:w="153"/>
        <w:gridCol w:w="109"/>
        <w:gridCol w:w="109"/>
        <w:gridCol w:w="109"/>
        <w:gridCol w:w="297"/>
        <w:gridCol w:w="662"/>
        <w:gridCol w:w="167"/>
        <w:gridCol w:w="109"/>
        <w:gridCol w:w="109"/>
        <w:gridCol w:w="109"/>
        <w:gridCol w:w="622"/>
        <w:gridCol w:w="813"/>
        <w:gridCol w:w="346"/>
        <w:gridCol w:w="109"/>
        <w:gridCol w:w="109"/>
        <w:gridCol w:w="109"/>
        <w:gridCol w:w="287"/>
        <w:gridCol w:w="816"/>
        <w:gridCol w:w="233"/>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b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FAIR VALUE MEASUREMENTS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Accounting Standards Board’s authoritative guidance for fair value measurements establishes a three-level hierarchy based upon the inputs to the valuation model of an asset or liability. Assets and liabilities presented at fair value in our Condensed Consolidated Balance Sheets are generally categorized as follows:</w:t>
      </w:r>
    </w:p>
    <w:p>
      <w:pPr>
        <w:pStyle w:val="TextBody"/>
        <w:bidi w:val="0"/>
        <w:spacing w:before="0" w:after="0"/>
        <w:ind w:left="0" w:right="0" w:firstLine="72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1:Quoted prices in active markets for identical assets or liabilities.</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3:Unobservable inputs that are supported by little or no market activity and that are significant to the fair value of the assets or liabilities. Such assets and liabilities may have values determined using pricing models, discounted cash flow methodologies, or similar techniques, and include instruments for which the determination of fair value requires significant management judgment or estimation.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in their entirety based on the lowest level of input that is significant to the fair value measurement. Our assessment of the significance of a particular input to the fair value measurement requires judgment, which may affect the valuation of assets and liabilities and their placement within the fair value hierarchy levels. The following table sets forth by level within the fair value hierarchy our assets and liabilities that were recorded at fair value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tbl>
      <w:tblPr>
        <w:tblW w:w="5996" w:type="dxa"/>
        <w:jc w:val="left"/>
        <w:tblInd w:w="0" w:type="dxa"/>
        <w:tblLayout w:type="fixed"/>
        <w:tblCellMar>
          <w:top w:w="28" w:type="dxa"/>
          <w:left w:w="28" w:type="dxa"/>
          <w:bottom w:w="28" w:type="dxa"/>
          <w:right w:w="28" w:type="dxa"/>
        </w:tblCellMar>
      </w:tblPr>
      <w:tblGrid>
        <w:gridCol w:w="542"/>
        <w:gridCol w:w="477"/>
        <w:gridCol w:w="480"/>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as of June 30, 2026</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996" w:type="dxa"/>
        <w:jc w:val="left"/>
        <w:tblInd w:w="0" w:type="dxa"/>
        <w:tblLayout w:type="fixed"/>
        <w:tblCellMar>
          <w:top w:w="28" w:type="dxa"/>
          <w:left w:w="28" w:type="dxa"/>
          <w:bottom w:w="28" w:type="dxa"/>
          <w:right w:w="28" w:type="dxa"/>
        </w:tblCellMar>
      </w:tblPr>
      <w:tblGrid>
        <w:gridCol w:w="542"/>
        <w:gridCol w:w="477"/>
        <w:gridCol w:w="480"/>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Fair Value as of December 31, 2025 </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for Level 3 liabilities for the period ended December 31, 2025. The Level 3 liabilities consist of an earnout liability associated with SOC's acquisition of Big Lake Lumber (“BLL”) in 2023. The change in the Level 3 liability during the period was primarily due to net payments.</w:t>
      </w:r>
    </w:p>
    <w:p>
      <w:pPr>
        <w:pStyle w:val="TextBody"/>
        <w:bidi w:val="0"/>
        <w:spacing w:before="0" w:after="0"/>
        <w:jc w:val="left"/>
        <w:rPr/>
      </w:pPr>
      <w:r>
        <w:rPr/>
      </w:r>
    </w:p>
    <w:tbl>
      <w:tblPr>
        <w:tblW w:w="3873" w:type="dxa"/>
        <w:jc w:val="left"/>
        <w:tblInd w:w="0" w:type="dxa"/>
        <w:tblLayout w:type="fixed"/>
        <w:tblCellMar>
          <w:top w:w="28" w:type="dxa"/>
          <w:left w:w="28" w:type="dxa"/>
          <w:bottom w:w="28" w:type="dxa"/>
          <w:right w:w="28" w:type="dxa"/>
        </w:tblCellMar>
      </w:tblPr>
      <w:tblGrid>
        <w:gridCol w:w="1003"/>
        <w:gridCol w:w="883"/>
        <w:gridCol w:w="889"/>
        <w:gridCol w:w="109"/>
        <w:gridCol w:w="109"/>
        <w:gridCol w:w="109"/>
        <w:gridCol w:w="196"/>
        <w:gridCol w:w="421"/>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value at August 22,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reductions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assets acquired and liabilities assumed in connection with the SOC acquisition were measured at fair value on a nonrecurring basis as of the acquisition date.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the valuation methodologies and assumptions used in determining these fair values is included in Note 5 – Acquisitions, which presents the allocation of purchase consideration and related fair value measurements required under ASC 805, Business Combinations.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other assets or liabilities were measured at fair value on a nonrecurring basis during the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in equity securities consists of common stock of publicly traded companies. The fair value of these securities is based on the closing prices observed on June 30, 2026, and is recorded in “Investments in equity securities” in the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Gains and losses from investments in equity securities are recorded in other income (expense) in the Condensed Consolidated Statements of Operations and included the following for the period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945" w:type="dxa"/>
        <w:jc w:val="left"/>
        <w:tblInd w:w="0" w:type="dxa"/>
        <w:tblLayout w:type="fixed"/>
        <w:tblCellMar>
          <w:top w:w="28" w:type="dxa"/>
          <w:left w:w="28" w:type="dxa"/>
          <w:bottom w:w="28" w:type="dxa"/>
          <w:right w:w="28" w:type="dxa"/>
        </w:tblCellMar>
      </w:tblPr>
      <w:tblGrid>
        <w:gridCol w:w="973"/>
        <w:gridCol w:w="854"/>
        <w:gridCol w:w="857"/>
        <w:gridCol w:w="109"/>
        <w:gridCol w:w="109"/>
        <w:gridCol w:w="109"/>
        <w:gridCol w:w="429"/>
        <w:gridCol w:w="1087"/>
        <w:gridCol w:w="238"/>
        <w:gridCol w:w="109"/>
        <w:gridCol w:w="109"/>
        <w:gridCol w:w="109"/>
        <w:gridCol w:w="389"/>
        <w:gridCol w:w="985"/>
        <w:gridCol w:w="216"/>
        <w:gridCol w:w="109"/>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 gain on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Lumber Derivative Contracts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enter into lumber derivative contracts in order to protect our gross profit margins from fluctuations caused by lumber price volatility. Such contracts, which are generally entered into to protect the gross margins on our wall panel contracts at EdgeBuilder and Glenbrook Building Supply, Inc. (“Glenbrook” and referred to jointly with EdgeBuilder as “EBGL”), are recorded within current assets or liabilities in the Condensed Consolidated Balance Sheets. As of June 30, 2026, we did not have any lumber derivatives contracts open.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Gains and losses from lumber derivative contracts are recorded in the cost of revenues in the Condensed Consolidated Statements of Operations. There were no unrealized or realized gains or losses on lumber derivatives for the three and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NET LOSS ATTRIBUTABLE TO COMMON SHAREHOLDERS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Basic loss per share is computed by dividing the Company’s net loss attributable to common shareholders by the weighted average number of shares outstanding during the period. When the effects are not anti-dilutive, diluted loss per share is computed by dividing the Company’s net loss attributable to common shareholders by the weighted average number of shares outstanding and the impact of all dilutive potential common shares, primarily stock options “in-the-money”, unvested restricted stock, and unvested restricted stock units. We have not allocated net income (loss) attributable to warrants because the holders of our warrants are not contractually obligated to share in our income (loss). The dilutive impact of stock options, unvested restricted stock, and unvested restricted stock units is determined by applying the “treasury stock” method. Performance-based restricted stock awards are included in the computation of diluted loss per share only to the extent that the underlying performance conditions: (i) are satisfied prior to the end of the reporting period; or (ii) would be satisfied if the end of the reporting period were the end of the related performance period and the result would be dilutive under the treasury stock method. Stock awards subject to vesting or exercisability based on the achievement of market conditions are included in the computation of diluted earnings per share only when the market conditions are met.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 reconciliation of the numerators and denominators of the basic and diluted loss per share calculations for the three and six months ended June 30, 2026 and 2025 was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63"/>
        <w:gridCol w:w="1640"/>
        <w:gridCol w:w="1646"/>
        <w:gridCol w:w="109"/>
        <w:gridCol w:w="109"/>
        <w:gridCol w:w="109"/>
        <w:gridCol w:w="196"/>
        <w:gridCol w:w="615"/>
        <w:gridCol w:w="109"/>
        <w:gridCol w:w="109"/>
        <w:gridCol w:w="109"/>
        <w:gridCol w:w="109"/>
        <w:gridCol w:w="196"/>
        <w:gridCol w:w="525"/>
        <w:gridCol w:w="109"/>
        <w:gridCol w:w="109"/>
        <w:gridCol w:w="109"/>
        <w:gridCol w:w="109"/>
        <w:gridCol w:w="196"/>
        <w:gridCol w:w="615"/>
        <w:gridCol w:w="109"/>
        <w:gridCol w:w="109"/>
        <w:gridCol w:w="109"/>
        <w:gridCol w:w="109"/>
        <w:gridCol w:w="196"/>
        <w:gridCol w:w="615"/>
        <w:gridCol w:w="109"/>
        <w:gridCol w:w="158"/>
      </w:tblGrid>
      <w:tr>
        <w:trPr/>
        <w:tc>
          <w:tcPr>
            <w:tcW w:w="1863"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share attributable to common shareholders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EPS numerator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EPS denominator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18"/>
              </w:rPr>
              <w:t xml:space="preserve">Common stock equivalents: restricted stock units and restricted shares of common stock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stock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The diluted weighted average number of shares of common stock outstanding did not differ from the basic weighted average number of shares of common stock outstanding because the effects of any potential common stock equivalents (see Note 6 to the Condensed Consolidated Financial Statements for further details on unvested restricted stock units) were anti-dilutive and therefore not included in the calculation of the denominator of dilutive earnings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14 – STOCKHOLDERS</w:t>
      </w:r>
      <w:r>
        <w:rPr>
          <w:color w:val="242424"/>
        </w:rPr>
        <w:t>’</w:t>
      </w:r>
      <w:r>
        <w:rPr>
          <w:color w:val="000000"/>
        </w:rPr>
        <w:t xml:space="preserve"> </w:t>
      </w:r>
      <w:r>
        <w:rPr>
          <w:rFonts w:ascii="Times New Roman;serif" w:hAnsi="Times New Roman;serif"/>
          <w:b/>
          <w:color w:val="000000"/>
          <w:sz w:val="20"/>
        </w:rPr>
        <w:t>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8, 2023, the Company’s Board of Directors authorized a share repurchase program for up to $5,000 of the Company’s outstanding common stock. The Company continues to view share repurchases as an attractive use of capital and may repurchase shares from time to time, as market conditions warrant, through open market purchases, privately negotiated transactions, block trades, or other methods, in accordance with applicable federal securities laws, including Rule 10b-18 of the Securities Exchange Act of 1934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completed its $5,000 share repurchase program authorized on August 8, 2023. On September 10, 2025, the Board of Directors authorized a new common stock repurchase program under which the Company may repurchase up to $3,000 of its outstanding common stock. During the six months ended June 30, 2026, the Company repurchased on the open market a total of 86,257 shares of its common stock for an aggregate cost of $0.9 million under these authorizations. As of June 30, 2026, under the July 30, 2015, August 8, 2023 and September 10, 2025 authorizations combined, the Company had repurchased an aggregate of 1,034,639 shares for a total cost of $16.4 million, completing the August 8, 2023 authorization and leaving $1.6 million available for purchase under the September 10, 2025 authorization. During the six months ended June 30, 2025, no repurchases of shares were made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cannot predict when or if it will repurchase any shares of common stock as such stock repurchase program will depend on a number of factors, including constraints specified in any Rule 10b5-1 trading plans, price, general business and market conditions, and alternative investment opportunities. Information regarding share repurchases will be available in the Company’s periodic reports on Form 10-Q and 10-K filed with the Securities and Exchange Commission as required by the applicable rules of the Exchange Act.</w:t>
      </w:r>
    </w:p>
    <w:p>
      <w:pPr>
        <w:pStyle w:val="TextBody"/>
        <w:bidi w:val="0"/>
        <w:spacing w:lineRule="auto" w:line="288" w:before="0" w:after="0"/>
        <w:ind w:left="0" w:right="0" w:firstLine="720"/>
        <w:jc w:val="both"/>
        <w:rPr>
          <w:color w:val="FF0000"/>
        </w:rPr>
      </w:pPr>
      <w:r>
        <w:rPr>
          <w:color w:val="FF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PERPETUAL PREFERRED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shares of our Series A Preferred Stock are entitled to receive, when, as, and if, authorized by the Company’s board of directors (or a duly authorized committee of the Company’s board of directors) and declared by the Company out of funds legally available for the payment of dividends, preferential cumulative cash dividends at the rate of 10% per annum of the liquidation preference of $10 per share. Dividends are payable quarterly, in arrears, by the last calendar day of March, June, September and December to holders of record at the close of business on the first day of each payment month. The Series A Preferred Stock is not convertible and does not have any voting rights, except when dividends are in arrears for 6 or more consecutive quarters, then the holders of those shares together with holders of all other series of preferred stock equal in rank would be entitled to vote separately as a class for the election of two additional directors to board of directors, until all dividends accumulated on such shares of Series A Preferred Stock for the past dividend periods and the dividend for the current dividend period shall have been fully paid or declared and a sum sufficient for the payment thereof set apart for payment. The Series A Preferred Stock is not subject to redemption by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13, 2026, Star announced that its Board of Directors declared a cash dividend to holders of the Company’s Preferred Stock of $0.25 per share. The record date for this dividend was March 1, 2026, and the payment date was March 10, 2026. On May 15, 2026, Star announced that its Board of Directors declared a cash dividend to holders of the Company’s Preferred Stock of $0.25 per share. The record date for this dividend was June 1, 2026, and the payment date was June 10, 2026. As of June 30, 2026, we are current on our preferred dividend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18, 2026, the Company entered into an At Market Issuance Sales Agreement (the "Sales Agreement") under which the Company may offer and sell, from time to time, shares of its 10% Series A Cumulative Perpetual Preferred Stock, par value $0.001 per share (the "Series A Preferred Stock"). Sales of Series A Preferred Stock under the Sales Agreement, if any, are made by any method permitted by law and deemed to be an "at the market offering" as defined in Rule 415 under the Securities Act, including sales made directly on the Nasdaq Global Select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sold 82,764 shares of Series A Preferred Stock under the Sales Agreement at a weighted average price of $9.86 per share, for gross proceeds of approximately $816. After deducting commissions and fees of approximately $25, the Company received net proceeds of approximately $790.</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 STOCKHOLDER RIGHTS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On October 15, 2018, the Company’s Board of Directors declared a dividend to the Company’s stockholders of record as of the close of business on October 25, 2018 (the “Record Date”), for each outstanding share of the Company’s common stock, of one right (a “Right”) to purchase one one-hundredth of a share of a new series of participating preferred stock of the Company. The terms of the Rights are set forth in the Rights Agreement, dated as of October 15, 2018 (as amended, the “Rights Agreement”), by and between the Company and Computershare Trust Company, N.A., as rights agent (the “Rights Agent”). The Company</w:t>
      </w:r>
      <w:r>
        <w:rPr>
          <w:color w:val="242424"/>
        </w:rPr>
        <w:t>’</w:t>
      </w:r>
      <w:r>
        <w:rPr>
          <w:rFonts w:ascii="Times New Roman;serif" w:hAnsi="Times New Roman;serif"/>
          <w:b w:val="false"/>
          <w:color w:val="000000"/>
          <w:sz w:val="20"/>
        </w:rPr>
        <w:t>s stockholders approved the Rights Agreement at the Company’s 2019 Annual Meeting of Stockholders held on May 6, 2019. On September 28, 2021, the Company and the Rights Agent entered into a First Amendment to Rights Agreement (the “Amendment”) that amended the Rights Agreement to extend its term through October 15, 2024. The amendment was approved by the Board on September 28, 2021, subject to stockholder approval, and the Company’s stockholders approved the Amendment at the Company’s 2022 Annual Meeting of Stockholders held on May 17, 2022. The Board of Directors has taken further action to amend the Original Rights Agreement, as amended by the First Amendment, to extend the expiration of the Rights Agreement to October 15, 2027, as contemplated in the Second Amendment to Rights Agreement (the “Second Amendment”). The Second Amendment was approved by the Board on June 13, 2024, subject to stockholder approval, and the Company’s stockholders approved the Amendment at the Company’s 2024 Annual Meeting of Stockholders held on July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has a provision in its Amended and Restated Certificate of Incorporation which generally prohibits transfers of its common stock that could result in an ownership change.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Right allows its holder to purchase from the Company one one-hundredth of a share of the Company’s Series B Junior Participating Preferred Stock (“Series B Preferred Stock”) for a purchase price of $3.50. Each fractional share of Series B Preferred Stock would give the stockholder approximately the same dividend, voting and liquidation rights as does one share of common stock. Prior to exercise, however, a Right does not give its holder any dividend, voting or liquidation rights.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Board entered into the Rights Agreement in an effort to preserve the value of the Company’s significant U.S. NOLs and other tax benefits. The Company’s ability to utilize its NOLs may be substantially limited if the Company experiences an “ownership change” within the meaning of Section 382 of the Internal Revenue Code of 1986, as amended (the “Code”). In general, an “ownership change” would occur if the percentage of the Company’s ownership by one or more “5-percent shareholders” (as defined in the Code) increases by more than 50 percent over the lowest percentage owned by such stockholders at any time during the prior three years. The Rights Agreement is designed to preserve the Company’s tax benefits by deterring transfers of common stock that could result in an “ownership change” under Section 382 of the Code. In general terms, the Rights Agreement imposes a significant penalty upon any person or group that acquires beneficial ownership (as defined under the Rights Agreement) of 4.99% or more of the outstanding common stock without the prior approval of the Board (an “Acquiring Person”). Any Rights held by an Acquiring Person are void and may not be exercised.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Rights will not be exercisable until the earlier of (i) 10 days after a public announcement by the Company that a person or group has become an Acquiring Person; and (ii) 10 business days (or a later date determined by the Board) after a person or group begins a tender or an exchange offer that, if completed, would result in that person or group becoming an Acquiring Person.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Until the date that the Rights become exercisable (the “Distribution Date”), common stock certificates will also evidence the Rights and will contain a notation to that effect. Any transfer of shares of common stock prior to the Distribution Date will constitute a transfer of the associated Rights. After the Distribution Date, the Rights will separate from the common stock and be evidenced by Right certificates, which the Company will mail to all holders of Rights that have not become void. After the Distribution Date, if a person or group already is or becomes an Acquiring Person, all holders of Rights, except the Acquiring Person, may exercise their Rights upon payment of the purchase price to purchase shares of common stock (or other securities or assets as determined by the Board) with a market value of two times the purchase price (a “Flip-in Event”). After the Distribution Date, if a Flip-in Event has already occurred and the Company is acquired in a merger or similar transaction, all holders of Rights, except the Acquiring Person, may exercise their Rights upon payment of the purchase price, to purchase shares of the acquiring or other appropriate entity with a market value of two times the purchase price of the Rights. Rights may be exercised to purchase Series B Preferred Stock only after the Distribution Date occurs and prior to the occurrence of a Flip-in Event as described above. A Distribution Date resulting from the commencement of a tender offer or an exchange offer as described in the second bullet point above could precede the occurrence of a Flip-in Event, in which case the Rights could be exercised to purchase Series B Preferred Stock. A Distribution Date resulting from any occurrence described in the first bullet point above would necessarily follow the occurrence of a Flip-in Event, in which case the Rights could be exercised to purchase shares of common stock (or other securities or assets) as described above.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Rights will expire on the earliest of (i) the close of business on October 15, 2027, or such earlier date as of which the Board determines that this Agreement is no longer necessary for the preservation of Tax Benefits, (ii) the time at which the Rights are redeemed as provided in Section 23, (iii) the time at which all exercisable Rights are exchanged as provided in Section 24, (iv) the close of business on the effective date of the repeal of Section 382 of the Code or any successor or replacement provision if the Board determines that this Agreement is no longer necessary for the preservation of Tax Benefits, and (v) the Close of Business on the first day of a taxable year of the Company to which the Board determines that no Tax Benefits may be carried forward.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Board may redeem all (but not less than all) of the Rights for a redemption price of $0.001 per Right at any time before the later of the Distribution Date and the date of the first public announcement or disclosure by the Company that a person or group has become an Acquiring Person. Once the Rights are redeemed, the right to exercise the Rights will terminate, and the only right of the holders of such Rights will be to receive the redemption price.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Board may adjust the purchase price of the Series B Preferred Stock, the number of shares of Series B Preferred Stock issuable and the number of outstanding Rights to prevent dilution that may occur as a result of certain events, including, among others, a stock dividend, a stock split or a reclassification of the Series B Preferred Stock or common stock.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Before the time the Rights cease to be redeemable, the Board may amend or supplement the Rights Agreement without the consent of the holders of the Rights, except that no amendment may decrease the redemption price below $0.001 per Right.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SEGMENT AND GEOGRAPHIC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expenses are reported separately for the four reportable segments and pertain to certain functions, such as executive management, corporate governance, investor relations, legal, accounting, tax, and treasury. A portion of these expenses are attributed to the reportable segments for providing the above services to them, and have been allocated to the segments as management service expenses, and are included in the segments’ non-operating other income (expense). We have disclosed for each reportable segment the significant expense that is reviewed by CODM in the tables below with no additional significant expenses beyond those presented. Segment information is presented in accordance with ASC 280, “Segment Reporting.” This standard is based on a management approach that requires segmentation based upon the Company’s internal organization and disclosure of revenue and certain expenses based upon internal accounting methods. The Company’s financial reporting systems present various data for management to run the business, including internal profit and loss statements prepared on a basis not consistent with U.S. GAAP. Accounts receivable and long-lived assets are the only significant assets separated by segment for internal reporting purposes.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 Effective as of the acquisition of SOC on August 22, 2025, our business segments are organized into the following four reportable segments, reflecting the manner in which our CODM assesses performance and allocates resources: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1.Building Solutions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2.Business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3.Energy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reporting segments have been determined based on the nature of the products and services offered to customers or the nature of their function in the organization. We evaluate performance based on gross profit and operating income (loss). Our operating costs included in our shared service functions primarily consist of senior executive officers, finance, human resources, legal, and information technology. Star Equity shared service corporate costs have been separated from the reportable segments. Prior period presentation previously disclosed conforms to current year presentation.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and six months ended June 30, 2026 and 2025, respectively,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31"/>
        <w:gridCol w:w="431"/>
        <w:gridCol w:w="433"/>
        <w:gridCol w:w="109"/>
        <w:gridCol w:w="109"/>
        <w:gridCol w:w="109"/>
        <w:gridCol w:w="213"/>
        <w:gridCol w:w="704"/>
        <w:gridCol w:w="118"/>
        <w:gridCol w:w="109"/>
        <w:gridCol w:w="109"/>
        <w:gridCol w:w="109"/>
        <w:gridCol w:w="210"/>
        <w:gridCol w:w="695"/>
        <w:gridCol w:w="117"/>
        <w:gridCol w:w="109"/>
        <w:gridCol w:w="109"/>
        <w:gridCol w:w="109"/>
        <w:gridCol w:w="207"/>
        <w:gridCol w:w="683"/>
        <w:gridCol w:w="115"/>
        <w:gridCol w:w="109"/>
        <w:gridCol w:w="109"/>
        <w:gridCol w:w="109"/>
        <w:gridCol w:w="216"/>
        <w:gridCol w:w="713"/>
        <w:gridCol w:w="122"/>
        <w:gridCol w:w="109"/>
        <w:gridCol w:w="109"/>
        <w:gridCol w:w="109"/>
        <w:gridCol w:w="322"/>
        <w:gridCol w:w="940"/>
        <w:gridCol w:w="182"/>
        <w:gridCol w:w="109"/>
        <w:gridCol w:w="109"/>
        <w:gridCol w:w="109"/>
        <w:gridCol w:w="196"/>
        <w:gridCol w:w="736"/>
        <w:gridCol w:w="159"/>
      </w:tblGrid>
      <w:tr>
        <w:trPr/>
        <w:tc>
          <w:tcPr>
            <w:tcW w:w="7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Gross profit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promotion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Gross profit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promotion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Long-lived assets, net of accumulated depreciation and amortization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5,409 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6,437 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32,401 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41,525 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14,220 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21,099 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1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108,236 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01"/>
        <w:gridCol w:w="1018"/>
        <w:gridCol w:w="1023"/>
        <w:gridCol w:w="109"/>
        <w:gridCol w:w="109"/>
        <w:gridCol w:w="109"/>
        <w:gridCol w:w="109"/>
        <w:gridCol w:w="109"/>
        <w:gridCol w:w="281"/>
        <w:gridCol w:w="928"/>
        <w:gridCol w:w="156"/>
        <w:gridCol w:w="109"/>
        <w:gridCol w:w="109"/>
        <w:gridCol w:w="109"/>
        <w:gridCol w:w="109"/>
        <w:gridCol w:w="109"/>
        <w:gridCol w:w="109"/>
        <w:gridCol w:w="109"/>
        <w:gridCol w:w="660"/>
        <w:gridCol w:w="1930"/>
        <w:gridCol w:w="373"/>
        <w:gridCol w:w="109"/>
        <w:gridCol w:w="109"/>
        <w:gridCol w:w="109"/>
        <w:gridCol w:w="196"/>
        <w:gridCol w:w="646"/>
        <w:gridCol w:w="158"/>
      </w:tblGrid>
      <w:tr>
        <w:trPr/>
        <w:tc>
          <w:tcPr>
            <w:tcW w:w="120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Gross profit </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general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promotion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Gross profit </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general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promotion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(loss) </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3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1"/>
        <w:gridCol w:w="470"/>
        <w:gridCol w:w="474"/>
        <w:gridCol w:w="109"/>
        <w:gridCol w:w="109"/>
        <w:gridCol w:w="109"/>
        <w:gridCol w:w="213"/>
        <w:gridCol w:w="704"/>
        <w:gridCol w:w="118"/>
        <w:gridCol w:w="109"/>
        <w:gridCol w:w="109"/>
        <w:gridCol w:w="109"/>
        <w:gridCol w:w="210"/>
        <w:gridCol w:w="695"/>
        <w:gridCol w:w="117"/>
        <w:gridCol w:w="109"/>
        <w:gridCol w:w="109"/>
        <w:gridCol w:w="109"/>
        <w:gridCol w:w="207"/>
        <w:gridCol w:w="683"/>
        <w:gridCol w:w="115"/>
        <w:gridCol w:w="109"/>
        <w:gridCol w:w="109"/>
        <w:gridCol w:w="109"/>
        <w:gridCol w:w="216"/>
        <w:gridCol w:w="713"/>
        <w:gridCol w:w="122"/>
        <w:gridCol w:w="109"/>
        <w:gridCol w:w="109"/>
        <w:gridCol w:w="109"/>
        <w:gridCol w:w="328"/>
        <w:gridCol w:w="933"/>
        <w:gridCol w:w="183"/>
        <w:gridCol w:w="109"/>
        <w:gridCol w:w="109"/>
        <w:gridCol w:w="109"/>
        <w:gridCol w:w="196"/>
        <w:gridCol w:w="736"/>
        <w:gridCol w:w="159"/>
      </w:tblGrid>
      <w:tr>
        <w:trPr/>
        <w:tc>
          <w:tcPr>
            <w:tcW w:w="65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Energy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Long-lived assets, net of accumulated depreciation and amortization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34,105 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43,418 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12,526 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21,689 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113,231 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(a)Gross profit in the Business Services segment includes the direct staffing costs of salaries, payroll taxes, employee benefits, travel expenses, and insurance costs for the Company’s contractors and reimbursed out-of-pocket expenses and other direct costs. The region where services are provided, the mix of RPO and contracting, and the functional nature of the staffing services provided can affect operating income and EBITDA. The salaries, commissions, payroll taxes, and employee benefits related to recruitment professionals are included under the caption “Salaries and related” in the Condensed Consolidated Statements of Operations.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(b)SEC Regulation S-K Item 229.10(e)1(ii)(A) defines EBITDA as earnings before interest, taxes, depreciation, and amortization. EBITDA is presented to provide additional information to investors about the Company’s operations on a basis consistent with the measures that the Company uses to manage its operations and evaluate its performance. Management also uses this measurement to evaluate working capital requirements. EBITDA should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considered in isolation or as a substitute for operating income and net income prepared in accordance with U.S. GAAP or as a measure of the Company’s profitability.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(c)Comprised of property and equipment, intangible assets and goodwill, net of accumulated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Geographic Data Reporting</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revenues for the three and six months ended June 30, 2026 and 2025 and net assets by geographic area as of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1387"/>
        <w:gridCol w:w="1140"/>
        <w:gridCol w:w="115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6"/>
      </w:tblGrid>
      <w:tr>
        <w:trPr/>
        <w:tc>
          <w:tcPr>
            <w:tcW w:w="138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Australia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w:t>
              <w:br/>
              <w:t>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751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Long-lived assets, net of accumulated depreciation and amortization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Long-lived assets, net of accumulated depreciation and amortization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Revenue by geographic region disclosed above is net of any inter-segment revenue and, therefore, represents only revenue from external customers according to the location of the operating subsidiary.</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Comprised of property and equipment, intangible assets and goodwill, net of accumulated depreciation and amortization.</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 SUPPLEMENTARY BALANCE SHEET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inventories are as follows: </w:t>
      </w:r>
    </w:p>
    <w:tbl>
      <w:tblPr>
        <w:tblW w:w="5003" w:type="dxa"/>
        <w:jc w:val="left"/>
        <w:tblInd w:w="0" w:type="dxa"/>
        <w:tblLayout w:type="fixed"/>
        <w:tblCellMar>
          <w:top w:w="28" w:type="dxa"/>
          <w:left w:w="28" w:type="dxa"/>
          <w:bottom w:w="28" w:type="dxa"/>
          <w:right w:w="28" w:type="dxa"/>
        </w:tblCellMar>
      </w:tblPr>
      <w:tblGrid>
        <w:gridCol w:w="581"/>
        <w:gridCol w:w="510"/>
        <w:gridCol w:w="514"/>
        <w:gridCol w:w="109"/>
        <w:gridCol w:w="109"/>
        <w:gridCol w:w="109"/>
        <w:gridCol w:w="263"/>
        <w:gridCol w:w="746"/>
        <w:gridCol w:w="146"/>
        <w:gridCol w:w="109"/>
        <w:gridCol w:w="109"/>
        <w:gridCol w:w="109"/>
        <w:gridCol w:w="343"/>
        <w:gridCol w:w="976"/>
        <w:gridCol w:w="270"/>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ADT's inventory, amounting to $1,097 as of June 30, 2026, consists of component equipment, parts and supplies which are classified as raw materials using the weighted average cost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consists of the following: </w:t>
      </w:r>
    </w:p>
    <w:tbl>
      <w:tblPr>
        <w:tblW w:w="6262" w:type="dxa"/>
        <w:jc w:val="left"/>
        <w:tblInd w:w="0" w:type="dxa"/>
        <w:tblLayout w:type="fixed"/>
        <w:tblCellMar>
          <w:top w:w="28" w:type="dxa"/>
          <w:left w:w="28" w:type="dxa"/>
          <w:bottom w:w="28" w:type="dxa"/>
          <w:right w:w="28" w:type="dxa"/>
        </w:tblCellMar>
      </w:tblPr>
      <w:tblGrid>
        <w:gridCol w:w="1035"/>
        <w:gridCol w:w="911"/>
        <w:gridCol w:w="918"/>
        <w:gridCol w:w="109"/>
        <w:gridCol w:w="109"/>
        <w:gridCol w:w="109"/>
        <w:gridCol w:w="238"/>
        <w:gridCol w:w="785"/>
        <w:gridCol w:w="132"/>
        <w:gridCol w:w="109"/>
        <w:gridCol w:w="109"/>
        <w:gridCol w:w="109"/>
        <w:gridCol w:w="313"/>
        <w:gridCol w:w="1031"/>
        <w:gridCol w:w="245"/>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and six months ended June 30, 2026 was $764 and $1,547, respectively, and $6 and $52 for the three and six months ended June 30,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held non-operating land and a building in Oxford, Maine for investment and potential future use which had a carrying value of $1,701 and was included within property and equipment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Warranty Reserves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Within our Building Solutions segment, KBS provides a limited assurance warranty on its residential homes that covers substantial defects in materials or workmanship for a period of 12 months after delivery to the owner. EdgeBuilder provides a limited warranty on the sale of its wood foundation products that covers leaks resulting from defects in workmanship for a period of twenty-five years. TT provides a fifty-year limited warranty to the original buyer of its products, qualified by the original buyer’s obligation to ensure that the products are properly handled, stored, and installed. Historical losses related to the Timber Technologies warranty have been insignificant and therefore no reserve has been established. Estimated future warranty costs are accrued and charged to cost of goods sold in the period that the related revenue is recognized. Within our Energy Services segment, we do not provide warranties on 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Notes Receivable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Notes receivable consists of the following principal and interest balances as of June 30, 2026 and December 31, 2025:</w:t>
      </w:r>
    </w:p>
    <w:tbl>
      <w:tblPr>
        <w:tblW w:w="7012" w:type="dxa"/>
        <w:jc w:val="left"/>
        <w:tblInd w:w="0" w:type="dxa"/>
        <w:tblLayout w:type="fixed"/>
        <w:tblCellMar>
          <w:top w:w="28" w:type="dxa"/>
          <w:left w:w="28" w:type="dxa"/>
          <w:bottom w:w="28" w:type="dxa"/>
          <w:right w:w="28" w:type="dxa"/>
        </w:tblCellMar>
      </w:tblPr>
      <w:tblGrid>
        <w:gridCol w:w="1015"/>
        <w:gridCol w:w="893"/>
        <w:gridCol w:w="896"/>
        <w:gridCol w:w="109"/>
        <w:gridCol w:w="109"/>
        <w:gridCol w:w="109"/>
        <w:gridCol w:w="399"/>
        <w:gridCol w:w="1134"/>
        <w:gridCol w:w="221"/>
        <w:gridCol w:w="109"/>
        <w:gridCol w:w="109"/>
        <w:gridCol w:w="109"/>
        <w:gridCol w:w="388"/>
        <w:gridCol w:w="1106"/>
        <w:gridCol w:w="306"/>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and interest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Catalyst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MDOS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KBS Customer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8,629 </w:t>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part of the sale of Digirad Health in May 2023, SOC entered into a $7,000 promissory note (the “Catalyst Note”) which represents an unsecured note receivable on our balance sheet. The note has a maturity date of May 3, 2029 with payment-in-kind (non-cash) interest on the outstanding principal balance hereof to accrue at the Interest Rate. The full balance is scheduled to be paid at the maturity date. The Interest Rate is defined as (i) during the period from the date of issuance of the note through the third anniversary of the date of issuance of the note, a per annum rate equal to the sum of (x) 5.0% per annum plus (y) the greater of 5.0% per annum and the weighted average term SOFR-based interest rate of outstanding loans under the Senior Loan Agreement (as defined in the Purchase Agreement) during such period, and (ii) during the period following the third anniversary of the date of issuance of the note, a per annum rate equal to the sum of (x) 5.0% per annum plus (y)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greater of 7.0% per annum and the weighted average term SOFR-based interest rate of outstanding loans under the Senior Loan Agreement during such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2021, SOC completed the sale of MD Office Solutions in exchange for a secured promissory note (the “MDOS Note”). This note, the principal of which is approximately $447 at June 30, 2026, is included in “Notes receivable, net of current portion” and “Notes receivable” in our Condensed Consolidated Balance Sheets at June 30, 2026 and December 31, 2025 for $223 and $224, respectively. The MDOS Note requires quarterly installments of $74 and incurs interest at a fixed rate of 5.0% through maturity in 2028.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2023, KBS issued a promissory note to a customer, incurring 12% interest per annum (the “KBS Customer Note”). The KBS Customer Note is included in “Notes receivable, net of current portion” in the Condensed Consolidated Balance Sheets at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its notes receivable portfolio under the Current Expected Credit Loss (“CECL”) model.</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 Term Investments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the components of our Long Term Investments as of June 30, 2026:</w:t>
      </w:r>
    </w:p>
    <w:tbl>
      <w:tblPr>
        <w:tblW w:w="7249" w:type="dxa"/>
        <w:jc w:val="left"/>
        <w:tblInd w:w="0" w:type="dxa"/>
        <w:tblLayout w:type="fixed"/>
        <w:tblCellMar>
          <w:top w:w="28" w:type="dxa"/>
          <w:left w:w="28" w:type="dxa"/>
          <w:bottom w:w="28" w:type="dxa"/>
          <w:right w:w="28" w:type="dxa"/>
        </w:tblCellMar>
      </w:tblPr>
      <w:tblGrid>
        <w:gridCol w:w="613"/>
        <w:gridCol w:w="540"/>
        <w:gridCol w:w="542"/>
        <w:gridCol w:w="109"/>
        <w:gridCol w:w="109"/>
        <w:gridCol w:w="109"/>
        <w:gridCol w:w="609"/>
        <w:gridCol w:w="609"/>
        <w:gridCol w:w="611"/>
        <w:gridCol w:w="109"/>
        <w:gridCol w:w="109"/>
        <w:gridCol w:w="109"/>
        <w:gridCol w:w="312"/>
        <w:gridCol w:w="670"/>
        <w:gridCol w:w="173"/>
        <w:gridCol w:w="109"/>
        <w:gridCol w:w="109"/>
        <w:gridCol w:w="109"/>
        <w:gridCol w:w="402"/>
        <w:gridCol w:w="868"/>
        <w:gridCol w:w="319"/>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Method of Accounting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Catalyst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 in Catalyst</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a part of the sale of Digirad Health, SOC received common equity of Catalyst Parent, which is held in our Investments Segment at a fair value of $953 at June 30, 2026. We have elected the measurement alternative under ASC 321, </w:t>
      </w:r>
      <w:r>
        <w:rPr>
          <w:rFonts w:ascii="Times New Roman;serif" w:hAnsi="Times New Roman;serif"/>
          <w:b w:val="false"/>
          <w:i/>
          <w:color w:val="000000"/>
          <w:sz w:val="20"/>
        </w:rPr>
        <w:t>Investments-Equity Securities</w:t>
      </w:r>
      <w:r>
        <w:rPr>
          <w:rFonts w:ascii="Times New Roman;serif" w:hAnsi="Times New Roman;serif"/>
          <w:b w:val="false"/>
          <w:color w:val="000000"/>
          <w:sz w:val="20"/>
        </w:rPr>
        <w:t xml:space="preserve">. The measurement alternative election allows for equity securities that do not have readily determinable fair values to be recorded at cost, with adjustments for impairment and certain observable price changes reflected in earnings. Such securities are adjusted to fair value when an observable price change occurs or impairment is identified.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 in Enservco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9, 2024, SOC entered into an investment in Enservco pursuant to a Share Exchange Agreement in which SOC agreed to issue to Enservco 250,000 shares of 10% Series A Cumulative Perpetual Preferred Stock representing $2,600 of value in exchange for 9,023,035 Enservco Common Shares, representing 19.9% of the equity interests of Enservco, and 3.5 million Enservco Preferred Shares and certain options included in the Share Exchange Agreement. We also issued a $1,000 note to Enservco to facilitate Enservco’s acquisition of Buckshot Trucking, LLC. The investment in Enservco had a value of zero at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 CASH, CASH EQUIVALENTS, AND RESTRICTED CASH</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Cash, cash equivalents, and restricted cash as reported within the accompanying Condensed Consolidated Balance Sheets as of June 30, 2026 and December 31, 2025 was as follows: </w:t>
      </w:r>
    </w:p>
    <w:tbl>
      <w:tblPr>
        <w:tblW w:w="5853" w:type="dxa"/>
        <w:jc w:val="left"/>
        <w:tblInd w:w="0" w:type="dxa"/>
        <w:tblLayout w:type="fixed"/>
        <w:tblCellMar>
          <w:top w:w="28" w:type="dxa"/>
          <w:left w:w="28" w:type="dxa"/>
          <w:bottom w:w="28" w:type="dxa"/>
          <w:right w:w="28" w:type="dxa"/>
        </w:tblCellMar>
      </w:tblPr>
      <w:tblGrid>
        <w:gridCol w:w="1262"/>
        <w:gridCol w:w="1106"/>
        <w:gridCol w:w="1112"/>
        <w:gridCol w:w="196"/>
        <w:gridCol w:w="556"/>
        <w:gridCol w:w="109"/>
        <w:gridCol w:w="109"/>
        <w:gridCol w:w="109"/>
        <w:gridCol w:w="109"/>
        <w:gridCol w:w="233"/>
        <w:gridCol w:w="769"/>
        <w:gridCol w:w="183"/>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Restricted cash primarily includes lease and collateral deposits, as well as bank guarantees for licensing.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and Complaints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 is subject, from time to time, to various claims, lawsuits, contract disputes, and other complaints from, for example, clients, candidates, suppliers, landlords for both leased and subleased properties, former and current employees, and regulators or tax authorities arising in the ordinary course of business. The Company routinely monitors claims such as these, and records provisions for losses when the claim becomes probable and the amount due is estimable. Although the outcome of these claims cannot be determined, the Company believes that the final resolution of these matters will not have a material adverse effect on the Company’s financial condition, results of operations or liquidity.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matters that reach the threshold of probable and estimable, the Company establishes reserves for legal, regulatory, and other contingent liabilities. The Company had $0.2 million of legal reserves as of both June 30, 2026 and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have been and will likely continue to be subject to litigation or administrative proceedings incidental to our business, such as claims related to compliance with regulatory standards, customer disputes, employment practices, wage and hour disputes, product liability, professional liability, malpractice liability, commercial disputes, licensure restrictions or denials, and warranty or patent infringement. Responding to litigation or administrative proceedings, regardless of whether they have merit, can be expensive and disruptive to normal business operations. We are not able to predict the timing or outcome of these matters but currently do not expect that the resolution of these matters will have a material adverse effect on our financial position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outcome of litigation and the amount or range of potential loss at particular points in time may be difficult to ascertain. Among other things, uncertainties can include how trial and appellate courts will apply the law and interpret facts, as well as the contractual and statutory obligations of other indemnifying and insuring parties. The estimated range of reasonably possible losses, and their effect on our financial position is based on currently available information and is subject to significant judgment and a variety of assumptions, as well as known and unknown uncertainties.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21 –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evaluated events and transactions occurring after June 30, 2026 through August 14, 2026, the date these condensed consolidated financial statements were issued, for potential recognition or disclosure in the accompanying condensed consolidated financial statements. Except as described below, the Company has determined that no other material subsequent events require recognition or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Merger Agreement with Harte Hanks,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2026, the Company, Merger Sub – R, Inc., a wholly owned subsidiary of the Company ("HH Merger Sub"), and Harte Hanks, Inc. ("Harte Hanks") entered into an Agreement and Plan of Merger (the "HH Merger Agreement") providing for the merger of HH Merger Sub with and into Harte Hanks, with Harte Hanks surviving as a wholly owned subsidiary of the Company (the "HH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HH Merger Agreement, each share of Harte Hanks common stock (outstanding immediately prior to the effective time, other than shares held in treasury or owned by the Company or its HH Merger Sub, which will be cancelled without consideration), and each share underlying a Harte Hanks equity award entitled to consideration under the HH Merger Agreement, will be converted into the right to receive, at the holder's election and subject to proration, either (i) $5.00 in cash, (ii) 0.5 shares of the Company's Series A Preferred Stock, or (iii) a combination of the two. Aggregate cash consideration, including cash payable in lieu of fractional preferred shares, may not exceed $19.2 million. If cash elections exceed that amount, cash is allocated pro rata among cash-electing shares and the balance is paid in Series A Preferred Stock. All outstanding Harte Hanks restricted stock units that vest in connection with the Closing will be cancelled in exchange for the same merger consideration, and vested Harte Hanks stock options having a per share exercise price below the per share merger consideration will be cancelled in exchange for the excess of that consideration over the exercise price. Options with a per share exercise price at or above the per share merger consideration will be cancelled without payment.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Assuming the maximum cash consideration is elected and paid, aggregate consideration would consist of $19.2 million in cash and 1.92 million shares of Series A Preferred Stock. Consistent with the Company's accounting for its acquisition of Star Operating Companies described in Note 5, consideration transferred will be measured at the acquisition-date fair value of the Series A Preferred Stock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Completion of the HH Merger is subject to customary closing conditions, including approval of the HH Merger Agreement by Harte Hanks stockholders, effectiveness of a Registration Statement on Form S-4 to be filed by the Company with respect to the Series A Preferred Stock issuable in the HH Merger, receipt of specified third-party consents, and completion of debt financing sufficient to enable the Company to fund the cash portion of the merger consideration. The financing is expected to be provided by a drawdown on Harte Hanks' existing $25 million asset-based revolving credit facility with Texas Capital Bank (with the drawdown not to exceed $15 million), under which $21.3 million was available as of June 30, 2026 after giving effect to outstanding letters of credit. Availability under that facility is limited by a borrowing base determined primarily by reference to cash and accounts receivable, and the facility contains covenants restricting mergers and acquisitions and the incurrence of indebtedness; accordingly, consummation of the financing will require the consent of, or an amendment from, the lender. In the event the lender fails to consent to provide all or a portion of the financing, the Company intends to seek alternative debt financing. Directors and executive officers of Harte Hanks have entered into voting and support agreements in favor of the HH Merger. There can be no assurance that the HH Merger will be completed on the terms described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account for the HH Merger as a business combination, with the Company as the accounting acquirer. Because the HH Merger had not been completed as of the date these condensed consolidated financial statements were issued, the Company has not completed its determination of the fair values of the assets to be acquired and liabilities to be assumed, and no purchase price allocation or pro forma financial information is presented. Entry into the HH Merger Agreement is a non-recognized subsequent event, and accordingly no amounts related to the HH Merger have been recorded in the condensed consolidated balance sheet as of June 30, 2026 or in the condensed consolidated statements of operations for the periods presented, other than transaction costs incurred through that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hanging="1440"/>
        <w:jc w:val="left"/>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This Management’s Discussion and Analysis of Financial Condition and Results of Operations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should be read in conjunction with the Condensed Consolidated Financial Statements and the notes thereto, included in Part I of this Form 10-Q. The reader should also refer to the Condensed Consolidated Financial Statements and notes of Star Equity Holdings, Inc. and its subsidiaries (the </w:t>
      </w:r>
      <w:r>
        <w:rPr>
          <w:color w:val="000000"/>
        </w:rPr>
        <w:t>“</w:t>
      </w:r>
      <w:r>
        <w:rPr>
          <w:rFonts w:ascii="Times New Roman;serif" w:hAnsi="Times New Roman;serif"/>
          <w:b w:val="false"/>
          <w:i/>
          <w:color w:val="000000"/>
          <w:sz w:val="20"/>
        </w:rPr>
        <w:t>Company</w:t>
      </w:r>
      <w:r>
        <w:rPr>
          <w:color w:val="000000"/>
        </w:rPr>
        <w:t>”</w:t>
      </w:r>
      <w:r>
        <w:rPr>
          <w:rFonts w:ascii="Times New Roman;serif" w:hAnsi="Times New Roman;serif"/>
          <w:b w:val="false"/>
          <w:i/>
          <w:color w:val="000000"/>
          <w:sz w:val="20"/>
        </w:rPr>
        <w:t xml:space="preserve">) filed in its Annual Report on Form 10-K for the year ended December 31, 2025. This MD&amp;A contains forward-looking statements. Please see </w:t>
      </w:r>
      <w:r>
        <w:rPr>
          <w:color w:val="000000"/>
        </w:rPr>
        <w:t>“</w:t>
      </w:r>
      <w:r>
        <w:rPr>
          <w:rFonts w:ascii="Times New Roman;serif" w:hAnsi="Times New Roman;serif"/>
          <w:b w:val="false"/>
          <w:i/>
          <w:color w:val="000000"/>
          <w:sz w:val="20"/>
        </w:rPr>
        <w:t>FORWARD-LOOKING STATEMENTS</w:t>
      </w:r>
      <w:r>
        <w:rPr>
          <w:color w:val="000000"/>
        </w:rPr>
        <w:t xml:space="preserve">” </w:t>
      </w:r>
      <w:r>
        <w:rPr>
          <w:rFonts w:ascii="Times New Roman;serif" w:hAnsi="Times New Roman;serif"/>
          <w:b w:val="false"/>
          <w:i/>
          <w:color w:val="000000"/>
          <w:sz w:val="20"/>
        </w:rPr>
        <w:t>for a discussion of the uncertainties, risks and assumptions associated with these statements. This MD&amp;A also uses the non-generally accepted accounting principle measure of earnings before interest, taxes, depreciation, and amortization (</w:t>
      </w:r>
      <w:r>
        <w:rPr>
          <w:color w:val="000000"/>
        </w:rPr>
        <w:t>“</w:t>
      </w:r>
      <w:r>
        <w:rPr>
          <w:rFonts w:ascii="Times New Roman;serif" w:hAnsi="Times New Roman;serif"/>
          <w:b w:val="false"/>
          <w:i/>
          <w:color w:val="000000"/>
          <w:sz w:val="20"/>
        </w:rPr>
        <w:t>EBITDA</w:t>
      </w:r>
      <w:r>
        <w:rPr>
          <w:color w:val="000000"/>
        </w:rPr>
        <w:t>”</w:t>
      </w:r>
      <w:r>
        <w:rPr>
          <w:rFonts w:ascii="Times New Roman;serif" w:hAnsi="Times New Roman;serif"/>
          <w:b w:val="false"/>
          <w:i/>
          <w:color w:val="000000"/>
          <w:sz w:val="20"/>
        </w:rPr>
        <w:t>). See Note 17 to the Condensed Consolidated Financial Statements in Part I, Item 1 of this Form 10-Q for EBITDA segment reconciliation information. The tables and information in this MD&amp;A were derived from exact numbers and may have immaterial rounding differences.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MD&amp;A includes the following sections: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Contingencies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Star Equity Holdings, Inc. (“Star,” the “Company,” “we,” “our”, formerly known as Hudson Global, Inc. ("Hudson")) is a diversified multi-industry holding company with four segments. Our Building Solutions segment operates in the construction industry. Our Business Services segment delivers Recruitment Process Outsourcing (“RPO”) services consisting of recruitment and contracting solutions tailored to the individual needs of primarily mid-to-large multinational companies. Our Energy Services segment consists of Alliance Drilling Tools, Inc. (“ADT’). In addition, we have an Investments segment, which holds and manages certain of our corporate-owned real estate, and manages internally funded, concentrated minority investments in a small number of public companies.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Amendment to Certificate of Incorporation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4, 2025, Star filed a certificate of amendment (the “Amendment”) to the Company’s Amended and Restated Certificate of Incorporation, as Amended (the “Charter”), to change the name of the Company from Hudson Global, Inc. to Star Equity Holdings, Inc. (the “Name Change”). The Name Change was approved by the Company’s Board of Directors (the “Board”) on September 2, 2025, and became effective at 12:01 a.m. (Eastern Time) on September 5, 2025.</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Star-Hudson Merger</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22, 2025, Star completed its previously announced acquisition of Star Operating Companies, Inc. ("SOC" or "Star Operating Companies", formerly known as Star Equity Holdings, Inc.) pursuant to the Agreement and Plan of Merger, dated as of May 21, 2025 (the “Merger Agreement”), by and among Star, SOC and HSON Merger Sub, Inc., a wholly owned subsidiary of Star (“Merger Sub”). Upon the terms and subject to the conditions of the Merger Agreement, on August 22, 2025, at the effective time of the Merger (the “Effective Time”), Merger Sub merged with and into SOC, with SOC continuing as the surviving corporation of the Merger under the name “Star Operating Companies, Inc." as a wholly owned subsidiary of Star. Capitalized terms used herein but not defined have the meanings set forth in the Merger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Merger Agreement, at the Effective Time, (i) each share of common stock of SOC issued and outstanding immediately prior to the Effective Time (other than certain shares as set forth in the Merger Agreement) were automatically converted into the right to receive 0.23 shares of Star common stock and (ii) each share of preferred stock of SOC issued and outstanding immediately prior to the Effective Time (other than certain shares set forth in the Merger Agreement) were automatically converted into the right to receive one (1) share of Star 10% Series A Cumulative Perpetual preferred stock (“Preferred Stock”). As a result of the Merger, former SOC common stockholders received approximately 744,291 shares of Star common stock for their SOC common shares and former SOC preferred stockholders received approximately 2,690,637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Star Preferred Stock. No fractional shares of Star common stock were issued in the Merger, and SOC stockholders became entitled to receive cash in lieu of fractional shares in accordance with the Merger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pursuant to the terms of the Merger Agreement, at the Effective Time, each award of SOC restricted stock units (“RSUs”) outstanding immediately prior to the Effective Time was converted into Star RSUs issued under the Hudson Global, Inc. 2009 Incentive Stock and Awards Plan, as amended (the “Plan”), in accordance with the Merger Agreement.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Building Solutions segment is currently made up of the following operating businesses: KBS Builders, Inc. (“KBS”); EdgeBuilder, Inc. (“EdgeBuilder”), and Glenbrook Building Supply, Inc. (“Glenbrook”), with the latter two managed together and referred to jointly as “EBGL,” and Timber Technologies Solutions, Inc. (“TT”). KBS is based in Maine and manufactures modular buildings, typically in the single and multi-family residential segments, servicing principally the New England market. EBGL is based in the Minneapolis-Saint Paul area and principally serves the Upper Midwest region. Together, the EBGL businesses manufacture and deliver structural wall panels and other engineered wood-based products. EBGL also distributes building materials from two lumberyard locations primarily focused on professional builder customers. TT is based outside the Minneapolis-St. Paul area and manufactures glue-laminated timber products (“glulam”) for various end markets and applications, including agriculture, industrial, infrastructure, and building construction (commercial and residential). </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Services segment delivers Recruitment Process Outsourcing (“RPO”) services consisting of recruitment and contracting solutions tailored to the individual needs of primarily mid-to-large multinational companies. The Company operates directly in eighteen countries with three reportable geographic business segments: the Americas, Asia Pacific, and Europe, Middle East, and Africa ("EMEA"). The Company’s RPO delivery teams utilize recruitment process methodologies and project management expertise to meet clients’ ongoing business needs. The Company’s RPO services include complete recruitment outsourcing, project-based outsourcing, contingent workforce solutions, and recruitment consulting for clients’ permanent staff hires. RPO services leverage the Company’s consultants, supported by the Company’s specialists, in the delivery of its proprietary methods to identify, select, and engage the best-fit talent for critical client roles. In addition, RPO clients receive a range of outsourced professional contract staffing services and managed service provider services offered sometimes on a standalone basis and sometimes as part of a blended total talent solution. These services draw upon a combination of specialized recruiting and project management competencies to deliver a wide range of solutions. Hudson RPO-employed professionals - either individually or as a team - are placed with client organizations for a defined period of time based on specific business needs of the client. With direct operations in eighteen countries and relationships with specialized professionals and organizations around the globe, Business Services brings a strong ability to match talent with opportunities by assessing, recruiting, developing, and engaging highly successful people for client support. </w:t>
      </w:r>
    </w:p>
    <w:p>
      <w:pPr>
        <w:pStyle w:val="TextBody"/>
        <w:bidi w:val="0"/>
        <w:spacing w:before="0" w:after="0"/>
        <w:ind w:left="0" w:right="0" w:hanging="9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Energy Services segment currently consists of ADT, a Wyoming and Texas based provider of drilling tools and services to the Energy industry, a key sector of the economy. ADT is a full-service downhole drilling tool company which provides sale and rental tools in the Oil &amp; Gas, Geothermal, Mining, and Waterwells sectors. ADT is strategically located near premier oilfields in the Rockies, a geothermal and mining hub, and in Midland, TX within the Permian Basin. ADT’s business model allows for the majority of costs, such as freight, repairs, and damages, to be passed directly to customers.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Investments segment holds and manages certain of our corporate-owned real estate, including a manufacturing facility in Maine that is leased to KBS and a manufacturing facility in Wisconsin that is leased to TT. The Investments segment manages internally funded, concentrated minority investments in a small number of public companies. It also holds and manages a promissory note and a private equity stake in Catalyst. SOC acquired these interests in May 2023 as a result of the sale of Digirad Health. Our Investments segment also holds an investment in Enservco Corporation consisting of an investment in Enservco Common Stock, an investment in Enservco Preferred Stock, and an investment in a call option, all of which were acquired in the third quarter of 2024 and are discussed in Note 18, </w:t>
      </w:r>
      <w:r>
        <w:rPr>
          <w:rFonts w:ascii="Times New Roman;serif" w:hAnsi="Times New Roman;serif"/>
          <w:b w:val="false"/>
          <w:i/>
          <w:color w:val="000000"/>
          <w:sz w:val="20"/>
        </w:rPr>
        <w:t xml:space="preserve">Supplementary Balance Sheet Information </w:t>
      </w:r>
      <w:r>
        <w:rPr>
          <w:rFonts w:ascii="Times New Roman;serif" w:hAnsi="Times New Roman;serif"/>
          <w:b w:val="false"/>
          <w:color w:val="000000"/>
          <w:sz w:val="20"/>
        </w:rPr>
        <w:t>to the notes to our accompanying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We continue to explore all strategic alternatives to maximize value for the Company’s stockholders, including without limitation, improving the market position and profitability of our services in the marketplace, and enhancing our valuation. We may pursue our goals through organic growth, strategic initiatives, or other alternatives. Additionally, we will continue to monitor capital markets for opportunities to repurchase shares, and consider other actions designed to enhance value to our stockholders, as well as review information regarding potential acquisitions or combinations, and provide information to third parties regarding potential dispositions of assets or business lines, from time to time. On August 14, 2026, the Company, HH Merger Sub, and Harte Hanks entered into the HH Merger Agreement providing for the HH Merger. See Note 21, Subsequent Events, within the notes to our Condensed Consolidated Financial Statements for a summary of the HH Merger Agreement.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MD&amp;A discusses the results of the Company’s business for the three and six months ended June 30, 2026 and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diversified multi-industry holding company structure allows Star management to focus on capital allocation, strategic leadership, mergers and acquisitions, capital markets, and investor relations, as well as management of our Investments segment. Our structure frees up our operating company management teams to focus on their respective businesses, look for organic and bolt-on growth opportunities, and improve operations with less distraction and administrative burden associated with running a public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explore strategic alternatives to improve our market position and the profitability of our product offerings, generate additional liquidity, and enhance our common stock valuation. We may pursue our goals through organic growth and through strategic alternatives, such as selective acquisitions of businesses, divestitures of assets or businesses, equity offerings, debt financings, or corporate restructuring.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Operating Business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operating companies are well positioned for growth in large addressable markets. The key elements of our growth strategy include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Organic growth from our core businesses. </w:t>
      </w:r>
      <w:r>
        <w:rPr>
          <w:rFonts w:ascii="Times New Roman;serif" w:hAnsi="Times New Roman;serif"/>
          <w:b w:val="false"/>
          <w:color w:val="000000"/>
          <w:sz w:val="20"/>
        </w:rPr>
        <w:t>We believe that we operate in markets and geographies that will allow us to continue to grow our core businesses, allowing us to benefit from our scale and strengths. We plan to focus our efforts on markets in which we already have a presence in order to leverage the personnel, infrastructure, and brand recognition we have in these areas.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Introduction of new services. </w:t>
      </w:r>
      <w:r>
        <w:rPr>
          <w:rFonts w:ascii="Times New Roman;serif" w:hAnsi="Times New Roman;serif"/>
          <w:b w:val="false"/>
          <w:color w:val="000000"/>
          <w:sz w:val="20"/>
        </w:rPr>
        <w:t>In the Building Solutions segment, we will consider opportunities to augment our service offerings to better serve our customer base. We have done this in the New England market with our entry into the commercial multi-family segment. Other areas might include logistics, on-site installation, and manufacturing of sub-components.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Acquisition of complementary businesses.</w:t>
      </w:r>
      <w:r>
        <w:rPr>
          <w:color w:val="000000"/>
        </w:rPr>
        <w:t xml:space="preserve"> </w:t>
      </w:r>
      <w:r>
        <w:rPr>
          <w:rFonts w:ascii="Times New Roman;serif" w:hAnsi="Times New Roman;serif"/>
          <w:b w:val="false"/>
          <w:color w:val="000000"/>
          <w:sz w:val="20"/>
        </w:rPr>
        <w:t>We plan to continue to look at complementary businesses that meet our acquisition growth criteria. We believe there are many potential small public and private targets that can be acquired over time and integrated into our platform. We will also look at larger, more transformational mergers and acquisitions if we believe the appropriate mix of value, risk, and return is present for our stockholders. The timing of these potential transactions will always depend on market conditions, available capital, and valuation. In general, we want to be “value” buyers, and will not pursue any transaction unless we believe the post-transaction potential value is high for stockholders.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Current Market Conditions and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target customers for our Building Solutions segment include professional home builders, general contractors, project owners, developers, and design firms. Despite a higher interest rate environment, we continue to experience meaningful demand for our products; however, certain projects have been delayed as customers secure and finalize financing. We have benefited from implementing both price increases and margin protection language in our contracts, and these changes have had a positive effect on our profitability. Although we have experienced slower business activity and lower revenues this quarter, we believe this slowdown is temporary. Our sales pipelines continue to indicate strong potential demand for our services, but we can give no assurances as to our ability to compete for these opportunities, or the periods during which successfully negotiated projects will be completed.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Modular Building Institute has estimated that permanent modular construction increased as a percentage of the construction industry from 2.14% in 2015 to 6.64% as of the end of 2023. In turn, in our Building Solutions segment, we continue to see a greater acceptance of offsite or prefab construction in single-family and multi-family residential building projects in our target markets. Our modular units and structural wall panels offer builders a number of benefits over traditional onsite or “stick built” construction. These include shorter time to market, higher quality, reduced waste, and potential cost savings. Additionally, technological advancements including 3D modeling software and developments in engineered wood products offer greater design flexibility for higher-end applications. The need for more affordable housing solutions also presents opportunities for the continued growth of factory-built housing.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our Business Services segment, our clients’ demands for RPO and contracting services largely depend on the market conditions and the strength of the labor markets in the countries where we operate. In the first six months of 2026, the market conditions remained challenging due to persistent inflation, market uncertainty related to trade disruptions, and decreased demand for labor in certain markets. We anticipate that these challenging market conditions will continue into the second half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our Energy Services segment, demand for our products is closely tied to oil prices, as customer drilling activity and capital spending are influenced by prevailing market conditions. Higher and stable oil prices generally support increased drilling and tool utilization, while lower or volatile prices may reduce activity and negatively impact our revenues and operating results. The demand for our Energy Services offerings is tied in part to oil and gas prices, drilling activity, and capital expenditures by E&amp;P companies. In June 2025, Baker Hughes reported that the total U.S. rig count was down 4% year-over-year. During the first six months of 2026, improved oil prices contributed to increased customer activity, and the segment delivered strong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Economic conditions in many of the world’s major markets remained uncertain throughout 2026. While inflationary pressures moderated in certain regions, elevated interest rates and tighter credit conditions continued to impact market activity. These conditions contributed to wage pressures, higher operating costs, staffing challenges, fluctuating consumer confidence, and constrained access to capital markets, each of which affected our business. In connection with this environment, some customers reduced demand for our services, and certain others temporarily deferred or permanently discontinued engagements. Ongoing macroeconomic uncertainty, including the potential for renewed inflationary pressures or changes in interest rate policy, could have material adverse effects on various aspects of our business in future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Risks arising from global economic instability and conflicts, wars, and health crises could impact our business. In addition, the inflation caused by such events may impact demand for our products and services and our cost to provide products and services. Economic uncertainty has also continued to contribute to volatility in global currency markets. Fluctuations in foreign exchange rates relative to the U.S. dollar during reporting periods impact the translation of our foreign operations’ results into U.S. dollars and may affect comparability of reported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explore all strategic alternatives to maximize value for the Company’s stockholders, including without limitation, improving the market position and profitability of our services in the marketplace, and enhancing our valuation. We may pursue our goals through organic growth, strategic initiatives, or other alternatives. Additionally, we will continue to monitor capital markets for opportunities to repurchase shares, and consider other actions designed to enhance value to our stockholders, as well as review information regarding potential acquisitions or combinations, and provide information to third parties regarding potential dispositions of assets or business lines, from time to time.</w:t>
      </w:r>
    </w:p>
    <w:p>
      <w:pPr>
        <w:pStyle w:val="TextBody"/>
        <w:bidi w:val="0"/>
        <w:spacing w:before="0" w:after="0"/>
        <w:ind w:left="0" w:right="0" w:firstLine="36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Financial Performance Highlights For The Three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Revenue was $54.9 million for the three months ended June 30, 2026, compared to $35.5 million for the same period in 2025, an increase of $19.4 million, or 54.6%. The increase in revenue was principally driven by the inclusion of revenues from the Star Operating Companies acquisition, which contributed 52 percentage points to the revenue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Gross profit was $22.8 million for the three months ended June 30, 2026, compared to $18.6 million for the same period in 2025, an increase of $4.2 million, or 22.3%. The increase in gross profit was driven by the acquisition of Star Operating Companies, which increased gross profit growth by 27 percentage points.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Selling, general and administrative expenses (including salaries and related expenses) and other non-operating income (expense) (“SG&amp;A and Non-Op”) was $24.0 million for the three months ended June 30, 2026, compared to $18.8 million for the same period in 2025, an increase of $5.3 million, or 28.0%. The acquisitions of our Building Solutions, Energy Services, and Investments segments collectively contributed 25 percentage points to the increase in SG&amp;A and Non-Op.</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Net loss was $1.8 million for the three months ended June 30, 2026, compared to net loss of $0.7 million for the same period in 2025, an increase in net loss of $1.2 million.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EBITDA loss was $0.6 million for the three months ended June 30, 2026, compared to EBITDA loss of $0.2 million for the same period in 2025, an increase in EBITDA loss of $0.5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Financial Performance Highlights For The Six Months Ended June 30, 2026</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Revenue was $105.0 million for the six months ended June 30, 2026, compared to $67.4 million for the same period in 2025, an increase of $37.6 million, or 55.8%. The increase in revenue was principally driven by the inclusion of revenues from the Star Operating Companies acquisition, which contributed 50 percentage points to the revenue growth.</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Gross profit was $43.4 million for the six months ended June 30, 2026, compared to $35.0 million for the same period in 2025, an increase of $8.3 million, or 23.7%. The increase in gross profit was driven by the acquisition of Star Operating Companies, which increased gross profit growth by 23 percentage points.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Selling, general and administrative expenses (including salaries and related expenses) and other non-operating income (expense) (“SG&amp;A and Non-Op”) was $48.3 million for the six months ended June 30, 2026, compared to $36.7 million for the same period in 2025, an increase of $11.6 million, or 31.7%. The acquisitions of our Building Solutions, Energy Services, and Investments segments collectively contributed 25 percentage points to the increase in SG&amp;A and Non-Op.</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Net loss was $5.6 million for the six months ended June 30, 2026, compared to net loss of $2.4 million for the same period in 2025, an increase in net loss of $3.2 million.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EBITDA loss was $3.7 million for the six months ended June 30, 2026, compared to EBITDA loss of $1.7 million for the same period in 2025, an increase in EBITDA loss of $2.1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EBITDA (Non-GAAP Financial Measure)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Management believes EBITDA is a meaningful indicator of the Company’s performance that provides useful information to investors regarding the Company’s financial condition and results of operations. Management considers EBITDA to be the best indicator of operating performance and most comparable measure across the regions in which the Company operates. Management uses this measure to evaluate capital needs and working capital requirements. EBITDA should not be considered in isolation or as a substitute for operating income, or net income prepared in accordance with U.S. GAAP or as a measure of the Company’s profitability. EBITDA is derived from net income adjusted for the provision for (benefit from) income taxes, interest expense (income), and depreciation and amortization.</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reconciliation of EBITDA to the most directly comparable GAAP financial measure is provided in the table below:</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26"/>
        <w:gridCol w:w="1683"/>
        <w:gridCol w:w="1687"/>
        <w:gridCol w:w="109"/>
        <w:gridCol w:w="109"/>
        <w:gridCol w:w="109"/>
        <w:gridCol w:w="196"/>
        <w:gridCol w:w="617"/>
        <w:gridCol w:w="109"/>
        <w:gridCol w:w="109"/>
        <w:gridCol w:w="109"/>
        <w:gridCol w:w="109"/>
        <w:gridCol w:w="196"/>
        <w:gridCol w:w="482"/>
        <w:gridCol w:w="109"/>
        <w:gridCol w:w="109"/>
        <w:gridCol w:w="109"/>
        <w:gridCol w:w="109"/>
        <w:gridCol w:w="196"/>
        <w:gridCol w:w="617"/>
        <w:gridCol w:w="109"/>
        <w:gridCol w:w="109"/>
        <w:gridCol w:w="109"/>
        <w:gridCol w:w="109"/>
        <w:gridCol w:w="196"/>
        <w:gridCol w:w="617"/>
        <w:gridCol w:w="157"/>
      </w:tblGrid>
      <w:tr>
        <w:trPr/>
        <w:tc>
          <w:tcPr>
            <w:tcW w:w="192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Adjustments to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expense-within 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-within 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from net loss to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Building Solutions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 Building Solutions</w:t>
      </w:r>
    </w:p>
    <w:tbl>
      <w:tblPr>
        <w:tblW w:w="10205" w:type="dxa"/>
        <w:jc w:val="left"/>
        <w:tblInd w:w="0" w:type="dxa"/>
        <w:tblLayout w:type="fixed"/>
        <w:tblCellMar>
          <w:top w:w="28" w:type="dxa"/>
          <w:left w:w="28" w:type="dxa"/>
          <w:bottom w:w="28" w:type="dxa"/>
          <w:right w:w="28" w:type="dxa"/>
        </w:tblCellMar>
      </w:tblPr>
      <w:tblGrid>
        <w:gridCol w:w="397"/>
        <w:gridCol w:w="349"/>
        <w:gridCol w:w="351"/>
        <w:gridCol w:w="212"/>
        <w:gridCol w:w="504"/>
        <w:gridCol w:w="117"/>
        <w:gridCol w:w="109"/>
        <w:gridCol w:w="109"/>
        <w:gridCol w:w="109"/>
        <w:gridCol w:w="228"/>
        <w:gridCol w:w="473"/>
        <w:gridCol w:w="127"/>
        <w:gridCol w:w="109"/>
        <w:gridCol w:w="109"/>
        <w:gridCol w:w="109"/>
        <w:gridCol w:w="236"/>
        <w:gridCol w:w="562"/>
        <w:gridCol w:w="131"/>
        <w:gridCol w:w="109"/>
        <w:gridCol w:w="109"/>
        <w:gridCol w:w="109"/>
        <w:gridCol w:w="263"/>
        <w:gridCol w:w="263"/>
        <w:gridCol w:w="264"/>
        <w:gridCol w:w="109"/>
        <w:gridCol w:w="109"/>
        <w:gridCol w:w="109"/>
        <w:gridCol w:w="212"/>
        <w:gridCol w:w="504"/>
        <w:gridCol w:w="117"/>
        <w:gridCol w:w="109"/>
        <w:gridCol w:w="109"/>
        <w:gridCol w:w="109"/>
        <w:gridCol w:w="275"/>
        <w:gridCol w:w="275"/>
        <w:gridCol w:w="279"/>
        <w:gridCol w:w="109"/>
        <w:gridCol w:w="109"/>
        <w:gridCol w:w="109"/>
        <w:gridCol w:w="236"/>
        <w:gridCol w:w="562"/>
        <w:gridCol w:w="131"/>
        <w:gridCol w:w="109"/>
        <w:gridCol w:w="109"/>
        <w:gridCol w:w="109"/>
        <w:gridCol w:w="245"/>
        <w:gridCol w:w="245"/>
        <w:gridCol w:w="358"/>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Building Solutions contributed $14.6 million to the Company's revenue. The segment faced several headwinds during the quarter that constrained revenue generation. Project timing delays affected certain large projects, as revenue recognition shifted into subsequent quarters. Additionally, challenging macroeconomic conditions weighed on customer demand, resulting in extended sales cycles and delayed capital spending decisions.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Building Solutions contributed $26.2 million to the Company's revenue. The drivers of the revenue performance for the six months ended June 30, 2026 were the same factors noted for the three months ended June 30, 2026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Gross Profit - Building Solutions</w:t>
      </w:r>
    </w:p>
    <w:tbl>
      <w:tblPr>
        <w:tblW w:w="10205" w:type="dxa"/>
        <w:jc w:val="left"/>
        <w:tblInd w:w="0" w:type="dxa"/>
        <w:tblLayout w:type="fixed"/>
        <w:tblCellMar>
          <w:top w:w="28" w:type="dxa"/>
          <w:left w:w="28" w:type="dxa"/>
          <w:bottom w:w="28" w:type="dxa"/>
          <w:right w:w="28" w:type="dxa"/>
        </w:tblCellMar>
      </w:tblPr>
      <w:tblGrid>
        <w:gridCol w:w="400"/>
        <w:gridCol w:w="285"/>
        <w:gridCol w:w="286"/>
        <w:gridCol w:w="244"/>
        <w:gridCol w:w="468"/>
        <w:gridCol w:w="137"/>
        <w:gridCol w:w="109"/>
        <w:gridCol w:w="109"/>
        <w:gridCol w:w="109"/>
        <w:gridCol w:w="234"/>
        <w:gridCol w:w="485"/>
        <w:gridCol w:w="130"/>
        <w:gridCol w:w="109"/>
        <w:gridCol w:w="109"/>
        <w:gridCol w:w="109"/>
        <w:gridCol w:w="267"/>
        <w:gridCol w:w="512"/>
        <w:gridCol w:w="150"/>
        <w:gridCol w:w="109"/>
        <w:gridCol w:w="109"/>
        <w:gridCol w:w="109"/>
        <w:gridCol w:w="272"/>
        <w:gridCol w:w="272"/>
        <w:gridCol w:w="273"/>
        <w:gridCol w:w="109"/>
        <w:gridCol w:w="109"/>
        <w:gridCol w:w="109"/>
        <w:gridCol w:w="244"/>
        <w:gridCol w:w="468"/>
        <w:gridCol w:w="137"/>
        <w:gridCol w:w="109"/>
        <w:gridCol w:w="109"/>
        <w:gridCol w:w="109"/>
        <w:gridCol w:w="234"/>
        <w:gridCol w:w="485"/>
        <w:gridCol w:w="130"/>
        <w:gridCol w:w="109"/>
        <w:gridCol w:w="109"/>
        <w:gridCol w:w="109"/>
        <w:gridCol w:w="267"/>
        <w:gridCol w:w="512"/>
        <w:gridCol w:w="150"/>
        <w:gridCol w:w="109"/>
        <w:gridCol w:w="109"/>
        <w:gridCol w:w="109"/>
        <w:gridCol w:w="253"/>
        <w:gridCol w:w="253"/>
        <w:gridCol w:w="368"/>
      </w:tblGrid>
      <w:tr>
        <w:trPr/>
        <w:tc>
          <w:tcPr>
            <w:tcW w:w="4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Building Solutions contributed $3.2 million to the Company's gross profit. Margins were pressured by rising input costs outpacing pricing actions in a competitive environment, along with lower volumes.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Building Solutions contributed $4.8 million to the Company's gross profit. Margin for the first half of the year was affected largely by the same dynamics that pressured the three months ended June 30, 2026, with the earlier part of the year also seeing volume impacted by weather-related project delivery disruptions.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SG&amp;A and Non-Op - Building Solutions</w:t>
      </w:r>
    </w:p>
    <w:tbl>
      <w:tblPr>
        <w:tblW w:w="10205" w:type="dxa"/>
        <w:jc w:val="left"/>
        <w:tblInd w:w="0" w:type="dxa"/>
        <w:tblLayout w:type="fixed"/>
        <w:tblCellMar>
          <w:top w:w="28" w:type="dxa"/>
          <w:left w:w="28" w:type="dxa"/>
          <w:bottom w:w="28" w:type="dxa"/>
          <w:right w:w="28" w:type="dxa"/>
        </w:tblCellMar>
      </w:tblPr>
      <w:tblGrid>
        <w:gridCol w:w="561"/>
        <w:gridCol w:w="360"/>
        <w:gridCol w:w="362"/>
        <w:gridCol w:w="205"/>
        <w:gridCol w:w="394"/>
        <w:gridCol w:w="268"/>
        <w:gridCol w:w="109"/>
        <w:gridCol w:w="109"/>
        <w:gridCol w:w="109"/>
        <w:gridCol w:w="224"/>
        <w:gridCol w:w="465"/>
        <w:gridCol w:w="125"/>
        <w:gridCol w:w="109"/>
        <w:gridCol w:w="109"/>
        <w:gridCol w:w="109"/>
        <w:gridCol w:w="241"/>
        <w:gridCol w:w="462"/>
        <w:gridCol w:w="135"/>
        <w:gridCol w:w="109"/>
        <w:gridCol w:w="109"/>
        <w:gridCol w:w="109"/>
        <w:gridCol w:w="256"/>
        <w:gridCol w:w="256"/>
        <w:gridCol w:w="258"/>
        <w:gridCol w:w="109"/>
        <w:gridCol w:w="109"/>
        <w:gridCol w:w="109"/>
        <w:gridCol w:w="205"/>
        <w:gridCol w:w="394"/>
        <w:gridCol w:w="268"/>
        <w:gridCol w:w="109"/>
        <w:gridCol w:w="109"/>
        <w:gridCol w:w="109"/>
        <w:gridCol w:w="224"/>
        <w:gridCol w:w="465"/>
        <w:gridCol w:w="125"/>
        <w:gridCol w:w="109"/>
        <w:gridCol w:w="109"/>
        <w:gridCol w:w="109"/>
        <w:gridCol w:w="241"/>
        <w:gridCol w:w="462"/>
        <w:gridCol w:w="135"/>
        <w:gridCol w:w="109"/>
        <w:gridCol w:w="109"/>
        <w:gridCol w:w="109"/>
        <w:gridCol w:w="239"/>
        <w:gridCol w:w="239"/>
        <w:gridCol w:w="347"/>
      </w:tblGrid>
      <w:tr>
        <w:trPr/>
        <w:tc>
          <w:tcPr>
            <w:tcW w:w="5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in millions</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 as a percentage of revenue</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Building Solutions SG&amp;A and Non-OP expenses were $3.3 million or 23% of revenue. The segment demonstrated effective cost management during the quarter, controlling discretionary spending and maintaining operational efficiency despite the challenging revenue environment. The focus on expense discipline helped partially offset the impact of lower sales volumes on overall profitability.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Building Solutions SG&amp;A and Non-OP expenses were $6.5 million or 25% of revenue. The segment kept a disciplined approach to spending through the first half of the year, working to preserve operating flexibility as it navigates a competitive pricing environment and softer demand.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Operating (Loss) Income and EBITDA - Building Solutions </w:t>
      </w:r>
    </w:p>
    <w:tbl>
      <w:tblPr>
        <w:tblW w:w="10205" w:type="dxa"/>
        <w:jc w:val="left"/>
        <w:tblInd w:w="0" w:type="dxa"/>
        <w:tblLayout w:type="fixed"/>
        <w:tblCellMar>
          <w:top w:w="28" w:type="dxa"/>
          <w:left w:w="28" w:type="dxa"/>
          <w:bottom w:w="28" w:type="dxa"/>
          <w:right w:w="28" w:type="dxa"/>
        </w:tblCellMar>
      </w:tblPr>
      <w:tblGrid>
        <w:gridCol w:w="472"/>
        <w:gridCol w:w="415"/>
        <w:gridCol w:w="417"/>
        <w:gridCol w:w="203"/>
        <w:gridCol w:w="420"/>
        <w:gridCol w:w="265"/>
        <w:gridCol w:w="109"/>
        <w:gridCol w:w="109"/>
        <w:gridCol w:w="109"/>
        <w:gridCol w:w="223"/>
        <w:gridCol w:w="462"/>
        <w:gridCol w:w="124"/>
        <w:gridCol w:w="109"/>
        <w:gridCol w:w="109"/>
        <w:gridCol w:w="109"/>
        <w:gridCol w:w="228"/>
        <w:gridCol w:w="472"/>
        <w:gridCol w:w="126"/>
        <w:gridCol w:w="109"/>
        <w:gridCol w:w="109"/>
        <w:gridCol w:w="109"/>
        <w:gridCol w:w="254"/>
        <w:gridCol w:w="254"/>
        <w:gridCol w:w="255"/>
        <w:gridCol w:w="109"/>
        <w:gridCol w:w="109"/>
        <w:gridCol w:w="109"/>
        <w:gridCol w:w="201"/>
        <w:gridCol w:w="411"/>
        <w:gridCol w:w="263"/>
        <w:gridCol w:w="109"/>
        <w:gridCol w:w="109"/>
        <w:gridCol w:w="109"/>
        <w:gridCol w:w="223"/>
        <w:gridCol w:w="462"/>
        <w:gridCol w:w="124"/>
        <w:gridCol w:w="109"/>
        <w:gridCol w:w="109"/>
        <w:gridCol w:w="109"/>
        <w:gridCol w:w="224"/>
        <w:gridCol w:w="474"/>
        <w:gridCol w:w="124"/>
        <w:gridCol w:w="109"/>
        <w:gridCol w:w="109"/>
        <w:gridCol w:w="109"/>
        <w:gridCol w:w="237"/>
        <w:gridCol w:w="237"/>
        <w:gridCol w:w="346"/>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Solutions</w:t>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(loss) </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 as a percentage of revenue</w:t>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Building Solutions generated operating income of $0.2 million and EBITDA of $0.02 million or 0.2% of revenue. Profitability for the quarter was primarily impacted by lower volume and margin pressure resulting from the competitive environment. While the segment maintained effective cost management and expense discipline on the SG&amp;A side, the revenue shortfall and resulting margin pressure were the primary drivers of the near-breakeven EBITDA performance.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Building Solutions generated operating loss of $1.0 million and EBITDA loss of $1.3 million or 5% of revenue. The segment maintained effective cost management on the SG&amp;A side; however, lower volume and margin pressure from the competitive environment remained a challenge through the first half of the year.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 Business Services</w:t>
      </w:r>
    </w:p>
    <w:tbl>
      <w:tblPr>
        <w:tblW w:w="10205" w:type="dxa"/>
        <w:jc w:val="left"/>
        <w:tblInd w:w="0" w:type="dxa"/>
        <w:tblLayout w:type="fixed"/>
        <w:tblCellMar>
          <w:top w:w="28" w:type="dxa"/>
          <w:left w:w="28" w:type="dxa"/>
          <w:bottom w:w="28" w:type="dxa"/>
          <w:right w:w="28" w:type="dxa"/>
        </w:tblCellMar>
      </w:tblPr>
      <w:tblGrid>
        <w:gridCol w:w="364"/>
        <w:gridCol w:w="320"/>
        <w:gridCol w:w="322"/>
        <w:gridCol w:w="196"/>
        <w:gridCol w:w="466"/>
        <w:gridCol w:w="109"/>
        <w:gridCol w:w="109"/>
        <w:gridCol w:w="109"/>
        <w:gridCol w:w="109"/>
        <w:gridCol w:w="217"/>
        <w:gridCol w:w="518"/>
        <w:gridCol w:w="121"/>
        <w:gridCol w:w="109"/>
        <w:gridCol w:w="109"/>
        <w:gridCol w:w="109"/>
        <w:gridCol w:w="286"/>
        <w:gridCol w:w="549"/>
        <w:gridCol w:w="160"/>
        <w:gridCol w:w="109"/>
        <w:gridCol w:w="109"/>
        <w:gridCol w:w="109"/>
        <w:gridCol w:w="195"/>
        <w:gridCol w:w="195"/>
        <w:gridCol w:w="460"/>
        <w:gridCol w:w="109"/>
        <w:gridCol w:w="109"/>
        <w:gridCol w:w="109"/>
        <w:gridCol w:w="196"/>
        <w:gridCol w:w="466"/>
        <w:gridCol w:w="109"/>
        <w:gridCol w:w="109"/>
        <w:gridCol w:w="109"/>
        <w:gridCol w:w="109"/>
        <w:gridCol w:w="196"/>
        <w:gridCol w:w="466"/>
        <w:gridCol w:w="109"/>
        <w:gridCol w:w="109"/>
        <w:gridCol w:w="109"/>
        <w:gridCol w:w="109"/>
        <w:gridCol w:w="286"/>
        <w:gridCol w:w="549"/>
        <w:gridCol w:w="160"/>
        <w:gridCol w:w="109"/>
        <w:gridCol w:w="109"/>
        <w:gridCol w:w="109"/>
        <w:gridCol w:w="187"/>
        <w:gridCol w:w="187"/>
        <w:gridCol w:w="52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RPO revenue decreased $0.3 million, or 2%, while contracting revenue increased $1.2 million, or 7% compared to 2025.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In the Americas, revenue increased $0.6 million, or 8%, for the three months ended June 30, 2026, compared to the same period in 2025. The increase was primarily driven by RPO revenue, which increased $0.9 million, or 14%, driven by higher demand from existing clients, while contracting revenue decreased $0.3 million, or 30%, due to reduced demand from existing clients.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Asia Pacific, revenue increased $1.0 million, or 5%, for the three months ended June 30, 2026, compared to the same period in 2025. Contracting revenue increased $1.8 million, or 13%, due to higher demand from existing clients, partly offset by a decline in RPO revenue of $0.8 million, or 10%, due to a reduction in demand from existing clients.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EMEA, revenue decreased $0.7 million, or 11%, for the three months ended June 30, 2026, compared to the same period in 2025, driven by a decline in contracting revenue of $0.3 million, or 9%, and a decline in RPO revenue of $0.4 million, or 13%.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RPO revenue increased $0.7 million, or 2%, while contracting revenue increased $3.3 million, or 9% compared to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Americas, revenue increased $1.6 million, or 11%, for the six months ended June 30, 2026, compared to the same period in 2025. The increase was primarily driven by RPO revenue, which increased $2.4 million, or 20%, driven by higher demand from existing clients, while contracting revenue decreased $0.8 million, or 41%, due to reduced demand from existing clients.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Asia Pacific, revenue increased $3.5 million, or 9%, for the six months ended June 30, 2026, compared to the same period in 2025. Contracting revenue increased $5.0 million, or 19%, due to higher demand from existing clients, partly offset by a decline in RPO revenue of $1.5 million, or 10%, due to a reduction in demand from existing clients.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EMEA, revenue decreased $1.1 million, or 8%, for the six months ended June 30, 2026, compared to the same period in 2025, driven by a decline in contracting revenue of $0.9 million, or 15%, and a decline in RPO revenue of $0.2 million, or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Gross Profit - Business Services</w:t>
      </w:r>
    </w:p>
    <w:tbl>
      <w:tblPr>
        <w:tblW w:w="10205" w:type="dxa"/>
        <w:jc w:val="left"/>
        <w:tblInd w:w="0" w:type="dxa"/>
        <w:tblLayout w:type="fixed"/>
        <w:tblCellMar>
          <w:top w:w="28" w:type="dxa"/>
          <w:left w:w="28" w:type="dxa"/>
          <w:bottom w:w="28" w:type="dxa"/>
          <w:right w:w="28" w:type="dxa"/>
        </w:tblCellMar>
      </w:tblPr>
      <w:tblGrid>
        <w:gridCol w:w="386"/>
        <w:gridCol w:w="339"/>
        <w:gridCol w:w="341"/>
        <w:gridCol w:w="196"/>
        <w:gridCol w:w="466"/>
        <w:gridCol w:w="109"/>
        <w:gridCol w:w="109"/>
        <w:gridCol w:w="109"/>
        <w:gridCol w:w="109"/>
        <w:gridCol w:w="216"/>
        <w:gridCol w:w="515"/>
        <w:gridCol w:w="120"/>
        <w:gridCol w:w="109"/>
        <w:gridCol w:w="109"/>
        <w:gridCol w:w="109"/>
        <w:gridCol w:w="262"/>
        <w:gridCol w:w="570"/>
        <w:gridCol w:w="145"/>
        <w:gridCol w:w="109"/>
        <w:gridCol w:w="109"/>
        <w:gridCol w:w="109"/>
        <w:gridCol w:w="193"/>
        <w:gridCol w:w="193"/>
        <w:gridCol w:w="455"/>
        <w:gridCol w:w="109"/>
        <w:gridCol w:w="109"/>
        <w:gridCol w:w="109"/>
        <w:gridCol w:w="196"/>
        <w:gridCol w:w="466"/>
        <w:gridCol w:w="109"/>
        <w:gridCol w:w="109"/>
        <w:gridCol w:w="109"/>
        <w:gridCol w:w="109"/>
        <w:gridCol w:w="196"/>
        <w:gridCol w:w="466"/>
        <w:gridCol w:w="109"/>
        <w:gridCol w:w="109"/>
        <w:gridCol w:w="109"/>
        <w:gridCol w:w="109"/>
        <w:gridCol w:w="281"/>
        <w:gridCol w:w="539"/>
        <w:gridCol w:w="157"/>
        <w:gridCol w:w="109"/>
        <w:gridCol w:w="109"/>
        <w:gridCol w:w="109"/>
        <w:gridCol w:w="185"/>
        <w:gridCol w:w="185"/>
        <w:gridCol w:w="52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in millions</w:t>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gross profit decreased $0.8 million, or 4%, driven by a decrease in RPO gross profit of $0.5 million, compared to the same period in 2025.</w:t>
      </w:r>
    </w:p>
    <w:p>
      <w:pPr>
        <w:pStyle w:val="TextBody"/>
        <w:bidi w:val="0"/>
        <w:spacing w:before="0" w:after="0"/>
        <w:ind w:left="0" w:right="0" w:firstLine="3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Americas, gross profit increased by $0.7 million, or 10%, for the three months ended June 30, 2026, compared to the same period in 2025. The growth was primarily driven by an increase of $0.8 million, or 13%, in RPO gross profit, partially offset by a decrease in contracting gross profit of $0.1 million, or 79%, compared to 2025.</w:t>
      </w:r>
    </w:p>
    <w:p>
      <w:pPr>
        <w:pStyle w:val="TextBody"/>
        <w:bidi w:val="0"/>
        <w:spacing w:before="0" w:after="0"/>
        <w:ind w:left="0" w:right="0" w:firstLine="315"/>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In Asia Pacific, gross profit decreased by $1.1 million, or 13%, for the three months ended June 30, 2026, compared to the s</w:t>
      </w:r>
      <w:r>
        <w:rPr>
          <w:rFonts w:ascii="Times New Roman;serif" w:hAnsi="Times New Roman;serif"/>
          <w:b w:val="false"/>
          <w:color w:val="000000"/>
          <w:sz w:val="20"/>
          <w:shd w:fill="FFFFFF" w:val="clear"/>
        </w:rPr>
        <w:t xml:space="preserve">ame period in 2025, driven by lower RPO gross profit of </w:t>
      </w:r>
      <w:r>
        <w:rPr>
          <w:rFonts w:ascii="Times New Roman;serif" w:hAnsi="Times New Roman;serif"/>
          <w:b w:val="false"/>
          <w:color w:val="000000"/>
          <w:sz w:val="20"/>
        </w:rPr>
        <w:t>$0.9 million</w:t>
      </w:r>
      <w:r>
        <w:rPr>
          <w:rFonts w:ascii="Times New Roman;serif" w:hAnsi="Times New Roman;serif"/>
          <w:b w:val="false"/>
          <w:color w:val="000000"/>
          <w:sz w:val="20"/>
          <w:shd w:fill="FFFFFF" w:val="clear"/>
        </w:rPr>
        <w:t xml:space="preserve">, coupled with lower contracting gross profit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EMEA, gross profit decreased by $0.3 million, or 10%, for the three months ended June 30, 2026, compared to the same period in 2025, driven by primarily by lower RPO gross profit of $0.4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gross profit increased $0.2 million, or 1%, driven by an increase in RPO gross profit of $0.7 million, partly offset by a decrease in contracting gross profit of $0.5 million, compared to the same period in 2025. </w:t>
      </w:r>
    </w:p>
    <w:p>
      <w:pPr>
        <w:pStyle w:val="TextBody"/>
        <w:bidi w:val="0"/>
        <w:spacing w:before="0" w:after="0"/>
        <w:ind w:left="0" w:right="0" w:firstLine="36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Americas, gross profit increased by $1.9 million, or 16%, for the six months ended June 30, 2026, compared to the same period in 2025. The growth was primarily driven by an increase of $2.3 million, or 19%, in RPO gross profit, partially offset by a decrease in contracting gross profit of $0.4 million, or 85%, compared to 2025.</w:t>
      </w:r>
    </w:p>
    <w:p>
      <w:pPr>
        <w:pStyle w:val="TextBody"/>
        <w:bidi w:val="0"/>
        <w:spacing w:before="0" w:after="0"/>
        <w:ind w:left="0" w:right="0" w:firstLine="315"/>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In Asia Pacific, gross profit decreased by $1.7 million, or 11%, for the six months ended June 30, 2026, compared to the s</w:t>
      </w:r>
      <w:r>
        <w:rPr>
          <w:rFonts w:ascii="Times New Roman;serif" w:hAnsi="Times New Roman;serif"/>
          <w:b w:val="false"/>
          <w:color w:val="000000"/>
          <w:sz w:val="20"/>
          <w:shd w:fill="FFFFFF" w:val="clear"/>
        </w:rPr>
        <w:t xml:space="preserve">ame period in 2025, driven by lower RPO gross profit of </w:t>
      </w:r>
      <w:r>
        <w:rPr>
          <w:rFonts w:ascii="Times New Roman;serif" w:hAnsi="Times New Roman;serif"/>
          <w:b w:val="false"/>
          <w:color w:val="000000"/>
          <w:sz w:val="20"/>
        </w:rPr>
        <w:t>$1.5 million</w:t>
      </w:r>
      <w:r>
        <w:rPr>
          <w:rFonts w:ascii="Times New Roman;serif" w:hAnsi="Times New Roman;serif"/>
          <w:b w:val="false"/>
          <w:color w:val="000000"/>
          <w:sz w:val="20"/>
          <w:shd w:fill="FFFFFF" w:val="clear"/>
        </w:rPr>
        <w:t xml:space="preserve">, coupled with lower contracting gross profit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EMEA, gross profit increased slightly, or 0.1%, for the six months ended June 30, 2026, compared to the same period in 2025, driven by primarily by higher RPO gross profit of $0.05 million.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SG&amp;A and Non-Op - Business Services</w:t>
      </w:r>
    </w:p>
    <w:tbl>
      <w:tblPr>
        <w:tblW w:w="10205" w:type="dxa"/>
        <w:jc w:val="left"/>
        <w:tblInd w:w="0" w:type="dxa"/>
        <w:tblLayout w:type="fixed"/>
        <w:tblCellMar>
          <w:top w:w="28" w:type="dxa"/>
          <w:left w:w="28" w:type="dxa"/>
          <w:bottom w:w="28" w:type="dxa"/>
          <w:right w:w="28" w:type="dxa"/>
        </w:tblCellMar>
      </w:tblPr>
      <w:tblGrid>
        <w:gridCol w:w="497"/>
        <w:gridCol w:w="293"/>
        <w:gridCol w:w="294"/>
        <w:gridCol w:w="196"/>
        <w:gridCol w:w="466"/>
        <w:gridCol w:w="256"/>
        <w:gridCol w:w="109"/>
        <w:gridCol w:w="109"/>
        <w:gridCol w:w="109"/>
        <w:gridCol w:w="197"/>
        <w:gridCol w:w="470"/>
        <w:gridCol w:w="258"/>
        <w:gridCol w:w="109"/>
        <w:gridCol w:w="109"/>
        <w:gridCol w:w="109"/>
        <w:gridCol w:w="222"/>
        <w:gridCol w:w="426"/>
        <w:gridCol w:w="125"/>
        <w:gridCol w:w="109"/>
        <w:gridCol w:w="109"/>
        <w:gridCol w:w="109"/>
        <w:gridCol w:w="245"/>
        <w:gridCol w:w="169"/>
        <w:gridCol w:w="400"/>
        <w:gridCol w:w="109"/>
        <w:gridCol w:w="109"/>
        <w:gridCol w:w="109"/>
        <w:gridCol w:w="196"/>
        <w:gridCol w:w="466"/>
        <w:gridCol w:w="256"/>
        <w:gridCol w:w="109"/>
        <w:gridCol w:w="109"/>
        <w:gridCol w:w="109"/>
        <w:gridCol w:w="196"/>
        <w:gridCol w:w="466"/>
        <w:gridCol w:w="256"/>
        <w:gridCol w:w="109"/>
        <w:gridCol w:w="109"/>
        <w:gridCol w:w="109"/>
        <w:gridCol w:w="222"/>
        <w:gridCol w:w="426"/>
        <w:gridCol w:w="125"/>
        <w:gridCol w:w="109"/>
        <w:gridCol w:w="109"/>
        <w:gridCol w:w="109"/>
        <w:gridCol w:w="164"/>
        <w:gridCol w:w="164"/>
        <w:gridCol w:w="465"/>
      </w:tblGrid>
      <w:tr>
        <w:trPr/>
        <w:tc>
          <w:tcPr>
            <w:tcW w:w="4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0205"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 as a percentage of revenue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SG&amp;A and Non-Op increased $0.1 million compared to the same period in 2025, while SG&amp;A and Non-Op as a percentage of revenue decreased from 50% in the prior year to 49% in the current year. The increase in SG&amp;A and Non-Op was primarily due to higher compensation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SG&amp;A and Non-Op increased $1.6 million or 5%, compared to the same period in 2025, while SG&amp;A and Non-Op as a percentage of revenue was even with the prior year.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Income and EBITDA - Business Services</w:t>
      </w:r>
    </w:p>
    <w:tbl>
      <w:tblPr>
        <w:tblW w:w="10205" w:type="dxa"/>
        <w:jc w:val="left"/>
        <w:tblInd w:w="0" w:type="dxa"/>
        <w:tblLayout w:type="fixed"/>
        <w:tblCellMar>
          <w:top w:w="28" w:type="dxa"/>
          <w:left w:w="28" w:type="dxa"/>
          <w:bottom w:w="28" w:type="dxa"/>
          <w:right w:w="28" w:type="dxa"/>
        </w:tblCellMar>
      </w:tblPr>
      <w:tblGrid>
        <w:gridCol w:w="531"/>
        <w:gridCol w:w="332"/>
        <w:gridCol w:w="333"/>
        <w:gridCol w:w="196"/>
        <w:gridCol w:w="376"/>
        <w:gridCol w:w="256"/>
        <w:gridCol w:w="109"/>
        <w:gridCol w:w="109"/>
        <w:gridCol w:w="109"/>
        <w:gridCol w:w="202"/>
        <w:gridCol w:w="388"/>
        <w:gridCol w:w="264"/>
        <w:gridCol w:w="109"/>
        <w:gridCol w:w="109"/>
        <w:gridCol w:w="109"/>
        <w:gridCol w:w="225"/>
        <w:gridCol w:w="476"/>
        <w:gridCol w:w="125"/>
        <w:gridCol w:w="109"/>
        <w:gridCol w:w="109"/>
        <w:gridCol w:w="109"/>
        <w:gridCol w:w="194"/>
        <w:gridCol w:w="175"/>
        <w:gridCol w:w="414"/>
        <w:gridCol w:w="109"/>
        <w:gridCol w:w="109"/>
        <w:gridCol w:w="109"/>
        <w:gridCol w:w="196"/>
        <w:gridCol w:w="399"/>
        <w:gridCol w:w="256"/>
        <w:gridCol w:w="109"/>
        <w:gridCol w:w="109"/>
        <w:gridCol w:w="109"/>
        <w:gridCol w:w="196"/>
        <w:gridCol w:w="376"/>
        <w:gridCol w:w="256"/>
        <w:gridCol w:w="109"/>
        <w:gridCol w:w="109"/>
        <w:gridCol w:w="109"/>
        <w:gridCol w:w="225"/>
        <w:gridCol w:w="476"/>
        <w:gridCol w:w="125"/>
        <w:gridCol w:w="109"/>
        <w:gridCol w:w="109"/>
        <w:gridCol w:w="109"/>
        <w:gridCol w:w="244"/>
        <w:gridCol w:w="200"/>
        <w:gridCol w:w="480"/>
      </w:tblGrid>
      <w:tr>
        <w:trPr/>
        <w:tc>
          <w:tcPr>
            <w:tcW w:w="5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Services</w:t>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 as a percentage of revenue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operating income was $0.2 million, compared to operating income of $1.3 million in 2025, and EBITDA was $0.1 million, or 0.2% of revenue, compared to EBITDA of $1.0 million, or 3% of revenue, in 2025.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operating loss was $0.6 million, compared to operating income of $1.0 million in 2025, and EBITDA loss was $0.9 million, or 1% of revenue, compared to EBITDA of $0.5 million, or 1% of revenue, in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Energy Services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 Energy Services</w:t>
      </w:r>
    </w:p>
    <w:tbl>
      <w:tblPr>
        <w:tblW w:w="10205" w:type="dxa"/>
        <w:jc w:val="left"/>
        <w:tblInd w:w="0" w:type="dxa"/>
        <w:tblLayout w:type="fixed"/>
        <w:tblCellMar>
          <w:top w:w="28" w:type="dxa"/>
          <w:left w:w="28" w:type="dxa"/>
          <w:bottom w:w="28" w:type="dxa"/>
          <w:right w:w="28" w:type="dxa"/>
        </w:tblCellMar>
      </w:tblPr>
      <w:tblGrid>
        <w:gridCol w:w="392"/>
        <w:gridCol w:w="345"/>
        <w:gridCol w:w="347"/>
        <w:gridCol w:w="220"/>
        <w:gridCol w:w="422"/>
        <w:gridCol w:w="124"/>
        <w:gridCol w:w="109"/>
        <w:gridCol w:w="109"/>
        <w:gridCol w:w="109"/>
        <w:gridCol w:w="231"/>
        <w:gridCol w:w="480"/>
        <w:gridCol w:w="129"/>
        <w:gridCol w:w="109"/>
        <w:gridCol w:w="109"/>
        <w:gridCol w:w="109"/>
        <w:gridCol w:w="274"/>
        <w:gridCol w:w="526"/>
        <w:gridCol w:w="154"/>
        <w:gridCol w:w="109"/>
        <w:gridCol w:w="109"/>
        <w:gridCol w:w="109"/>
        <w:gridCol w:w="276"/>
        <w:gridCol w:w="276"/>
        <w:gridCol w:w="277"/>
        <w:gridCol w:w="109"/>
        <w:gridCol w:w="109"/>
        <w:gridCol w:w="109"/>
        <w:gridCol w:w="254"/>
        <w:gridCol w:w="254"/>
        <w:gridCol w:w="258"/>
        <w:gridCol w:w="109"/>
        <w:gridCol w:w="109"/>
        <w:gridCol w:w="109"/>
        <w:gridCol w:w="278"/>
        <w:gridCol w:w="278"/>
        <w:gridCol w:w="283"/>
        <w:gridCol w:w="109"/>
        <w:gridCol w:w="109"/>
        <w:gridCol w:w="109"/>
        <w:gridCol w:w="274"/>
        <w:gridCol w:w="526"/>
        <w:gridCol w:w="154"/>
        <w:gridCol w:w="109"/>
        <w:gridCol w:w="109"/>
        <w:gridCol w:w="109"/>
        <w:gridCol w:w="256"/>
        <w:gridCol w:w="256"/>
        <w:gridCol w:w="372"/>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For the three months ended June 30, 2026, Energy Services contributed $3.9 million in revenue. The segment demonstrated positive momentum during the quarter, particularly in the geothermal markets, where activity levels accelerated as the segment continued to capture market share through strong customer relationships and new customer wins.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Energy Services contributed $7.4 million in revenue. Activity remained strong across both the Permian and Rockies regions through the first half of the year, driving momentum across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Gross Profit - Energy Services</w:t>
      </w:r>
    </w:p>
    <w:tbl>
      <w:tblPr>
        <w:tblW w:w="10205" w:type="dxa"/>
        <w:jc w:val="left"/>
        <w:tblInd w:w="0" w:type="dxa"/>
        <w:tblLayout w:type="fixed"/>
        <w:tblCellMar>
          <w:top w:w="28" w:type="dxa"/>
          <w:left w:w="28" w:type="dxa"/>
          <w:bottom w:w="28" w:type="dxa"/>
          <w:right w:w="28" w:type="dxa"/>
        </w:tblCellMar>
      </w:tblPr>
      <w:tblGrid>
        <w:gridCol w:w="343"/>
        <w:gridCol w:w="285"/>
        <w:gridCol w:w="286"/>
        <w:gridCol w:w="220"/>
        <w:gridCol w:w="422"/>
        <w:gridCol w:w="124"/>
        <w:gridCol w:w="109"/>
        <w:gridCol w:w="109"/>
        <w:gridCol w:w="109"/>
        <w:gridCol w:w="235"/>
        <w:gridCol w:w="488"/>
        <w:gridCol w:w="131"/>
        <w:gridCol w:w="109"/>
        <w:gridCol w:w="109"/>
        <w:gridCol w:w="109"/>
        <w:gridCol w:w="288"/>
        <w:gridCol w:w="552"/>
        <w:gridCol w:w="161"/>
        <w:gridCol w:w="109"/>
        <w:gridCol w:w="109"/>
        <w:gridCol w:w="109"/>
        <w:gridCol w:w="284"/>
        <w:gridCol w:w="284"/>
        <w:gridCol w:w="285"/>
        <w:gridCol w:w="109"/>
        <w:gridCol w:w="109"/>
        <w:gridCol w:w="109"/>
        <w:gridCol w:w="220"/>
        <w:gridCol w:w="422"/>
        <w:gridCol w:w="124"/>
        <w:gridCol w:w="109"/>
        <w:gridCol w:w="109"/>
        <w:gridCol w:w="109"/>
        <w:gridCol w:w="235"/>
        <w:gridCol w:w="488"/>
        <w:gridCol w:w="131"/>
        <w:gridCol w:w="109"/>
        <w:gridCol w:w="109"/>
        <w:gridCol w:w="109"/>
        <w:gridCol w:w="288"/>
        <w:gridCol w:w="552"/>
        <w:gridCol w:w="161"/>
        <w:gridCol w:w="109"/>
        <w:gridCol w:w="109"/>
        <w:gridCol w:w="109"/>
        <w:gridCol w:w="263"/>
        <w:gridCol w:w="263"/>
        <w:gridCol w:w="381"/>
      </w:tblGrid>
      <w:tr>
        <w:trPr/>
        <w:tc>
          <w:tcPr>
            <w:tcW w:w="3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contribution of Energy Services to the Company's Gross Profit was $1.9 million. The segment delivered strong margin performance during the quarter. The combination of increased activity levels and improved cost absorption supported profitability as the segment executed on opportunities across both traditional energy markets and diversified non-oil-and-gas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contribution of Energy Services to the Company's Gross Profit was $3.4 million. The drivers of the margin performance for the six months ended June 30, 2026 were the same factors noted for the three months ended June 30, 2026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SG&amp;A and Non-Op - Energy Services</w:t>
      </w:r>
    </w:p>
    <w:tbl>
      <w:tblPr>
        <w:tblW w:w="10205" w:type="dxa"/>
        <w:jc w:val="left"/>
        <w:tblInd w:w="0" w:type="dxa"/>
        <w:tblLayout w:type="fixed"/>
        <w:tblCellMar>
          <w:top w:w="28" w:type="dxa"/>
          <w:left w:w="28" w:type="dxa"/>
          <w:bottom w:w="28" w:type="dxa"/>
          <w:right w:w="28" w:type="dxa"/>
        </w:tblCellMar>
      </w:tblPr>
      <w:tblGrid>
        <w:gridCol w:w="575"/>
        <w:gridCol w:w="376"/>
        <w:gridCol w:w="377"/>
        <w:gridCol w:w="196"/>
        <w:gridCol w:w="376"/>
        <w:gridCol w:w="256"/>
        <w:gridCol w:w="109"/>
        <w:gridCol w:w="109"/>
        <w:gridCol w:w="109"/>
        <w:gridCol w:w="223"/>
        <w:gridCol w:w="462"/>
        <w:gridCol w:w="124"/>
        <w:gridCol w:w="109"/>
        <w:gridCol w:w="109"/>
        <w:gridCol w:w="109"/>
        <w:gridCol w:w="245"/>
        <w:gridCol w:w="470"/>
        <w:gridCol w:w="137"/>
        <w:gridCol w:w="109"/>
        <w:gridCol w:w="109"/>
        <w:gridCol w:w="109"/>
        <w:gridCol w:w="259"/>
        <w:gridCol w:w="259"/>
        <w:gridCol w:w="260"/>
        <w:gridCol w:w="109"/>
        <w:gridCol w:w="109"/>
        <w:gridCol w:w="109"/>
        <w:gridCol w:w="196"/>
        <w:gridCol w:w="376"/>
        <w:gridCol w:w="256"/>
        <w:gridCol w:w="109"/>
        <w:gridCol w:w="109"/>
        <w:gridCol w:w="109"/>
        <w:gridCol w:w="223"/>
        <w:gridCol w:w="462"/>
        <w:gridCol w:w="124"/>
        <w:gridCol w:w="109"/>
        <w:gridCol w:w="109"/>
        <w:gridCol w:w="109"/>
        <w:gridCol w:w="245"/>
        <w:gridCol w:w="470"/>
        <w:gridCol w:w="137"/>
        <w:gridCol w:w="109"/>
        <w:gridCol w:w="109"/>
        <w:gridCol w:w="109"/>
        <w:gridCol w:w="241"/>
        <w:gridCol w:w="241"/>
        <w:gridCol w:w="350"/>
      </w:tblGrid>
      <w:tr>
        <w:trPr/>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 as a percentage of revenue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Energy Services’ SG&amp;A and non-operating expenses totaled $1.2 million or 29% of revenue. Expenses were generally in line with normal operating levels, with a slight increase in sales commissions reflecting efforts to expand market share during the period.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Energy Services’ SG&amp;A and non-operating expenses totaled $2.2 million or 30% of revenue. Spend levels tracked the segment's normal operating range for the first half of the year, with sales commissions representing a modest share of the total as the segment worked to grow its customer base.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Income and EBITDA - Energy Services</w:t>
      </w:r>
    </w:p>
    <w:tbl>
      <w:tblPr>
        <w:tblW w:w="10205" w:type="dxa"/>
        <w:jc w:val="left"/>
        <w:tblInd w:w="0" w:type="dxa"/>
        <w:tblLayout w:type="fixed"/>
        <w:tblCellMar>
          <w:top w:w="28" w:type="dxa"/>
          <w:left w:w="28" w:type="dxa"/>
          <w:bottom w:w="28" w:type="dxa"/>
          <w:right w:w="28" w:type="dxa"/>
        </w:tblCellMar>
      </w:tblPr>
      <w:tblGrid>
        <w:gridCol w:w="561"/>
        <w:gridCol w:w="365"/>
        <w:gridCol w:w="367"/>
        <w:gridCol w:w="196"/>
        <w:gridCol w:w="376"/>
        <w:gridCol w:w="256"/>
        <w:gridCol w:w="109"/>
        <w:gridCol w:w="109"/>
        <w:gridCol w:w="109"/>
        <w:gridCol w:w="224"/>
        <w:gridCol w:w="464"/>
        <w:gridCol w:w="125"/>
        <w:gridCol w:w="109"/>
        <w:gridCol w:w="109"/>
        <w:gridCol w:w="109"/>
        <w:gridCol w:w="248"/>
        <w:gridCol w:w="475"/>
        <w:gridCol w:w="139"/>
        <w:gridCol w:w="109"/>
        <w:gridCol w:w="109"/>
        <w:gridCol w:w="109"/>
        <w:gridCol w:w="260"/>
        <w:gridCol w:w="260"/>
        <w:gridCol w:w="262"/>
        <w:gridCol w:w="109"/>
        <w:gridCol w:w="109"/>
        <w:gridCol w:w="109"/>
        <w:gridCol w:w="196"/>
        <w:gridCol w:w="376"/>
        <w:gridCol w:w="256"/>
        <w:gridCol w:w="109"/>
        <w:gridCol w:w="109"/>
        <w:gridCol w:w="109"/>
        <w:gridCol w:w="224"/>
        <w:gridCol w:w="464"/>
        <w:gridCol w:w="125"/>
        <w:gridCol w:w="109"/>
        <w:gridCol w:w="109"/>
        <w:gridCol w:w="109"/>
        <w:gridCol w:w="248"/>
        <w:gridCol w:w="475"/>
        <w:gridCol w:w="139"/>
        <w:gridCol w:w="109"/>
        <w:gridCol w:w="109"/>
        <w:gridCol w:w="109"/>
        <w:gridCol w:w="242"/>
        <w:gridCol w:w="242"/>
        <w:gridCol w:w="351"/>
      </w:tblGrid>
      <w:tr>
        <w:trPr/>
        <w:tc>
          <w:tcPr>
            <w:tcW w:w="5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Services</w:t>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 as a percentage of revenue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 xml:space="preserve">For the three months ended June 30, 2026, Energy Services reported an operating income of $0.8 million and an EBITDA gain of $1.1 million or 28% of revenue. The segment's profitability reflects the positive momentum established during the quarter, with strong margin performance and increased activity levels driving EBITDA generation.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Energy Services reported an operating income of $1.2 million and an EBITDA gain of $2.0 million or 26% of revenue. Results for the first half of the year were underpinned by sustained activity across the Permian and Rockies regions and continued strength in geothermal markets, translating into solid EBITDA generation for the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Revenue-Investments</w:t>
      </w:r>
    </w:p>
    <w:tbl>
      <w:tblPr>
        <w:tblW w:w="10205" w:type="dxa"/>
        <w:jc w:val="left"/>
        <w:tblInd w:w="0" w:type="dxa"/>
        <w:tblLayout w:type="fixed"/>
        <w:tblCellMar>
          <w:top w:w="28" w:type="dxa"/>
          <w:left w:w="28" w:type="dxa"/>
          <w:bottom w:w="28" w:type="dxa"/>
          <w:right w:w="28" w:type="dxa"/>
        </w:tblCellMar>
      </w:tblPr>
      <w:tblGrid>
        <w:gridCol w:w="364"/>
        <w:gridCol w:w="320"/>
        <w:gridCol w:w="322"/>
        <w:gridCol w:w="243"/>
        <w:gridCol w:w="466"/>
        <w:gridCol w:w="136"/>
        <w:gridCol w:w="109"/>
        <w:gridCol w:w="109"/>
        <w:gridCol w:w="109"/>
        <w:gridCol w:w="233"/>
        <w:gridCol w:w="483"/>
        <w:gridCol w:w="130"/>
        <w:gridCol w:w="109"/>
        <w:gridCol w:w="109"/>
        <w:gridCol w:w="109"/>
        <w:gridCol w:w="265"/>
        <w:gridCol w:w="508"/>
        <w:gridCol w:w="149"/>
        <w:gridCol w:w="109"/>
        <w:gridCol w:w="109"/>
        <w:gridCol w:w="109"/>
        <w:gridCol w:w="271"/>
        <w:gridCol w:w="271"/>
        <w:gridCol w:w="272"/>
        <w:gridCol w:w="109"/>
        <w:gridCol w:w="109"/>
        <w:gridCol w:w="109"/>
        <w:gridCol w:w="243"/>
        <w:gridCol w:w="466"/>
        <w:gridCol w:w="136"/>
        <w:gridCol w:w="109"/>
        <w:gridCol w:w="109"/>
        <w:gridCol w:w="109"/>
        <w:gridCol w:w="233"/>
        <w:gridCol w:w="483"/>
        <w:gridCol w:w="130"/>
        <w:gridCol w:w="109"/>
        <w:gridCol w:w="109"/>
        <w:gridCol w:w="109"/>
        <w:gridCol w:w="265"/>
        <w:gridCol w:w="508"/>
        <w:gridCol w:w="149"/>
        <w:gridCol w:w="109"/>
        <w:gridCol w:w="109"/>
        <w:gridCol w:w="109"/>
        <w:gridCol w:w="251"/>
        <w:gridCol w:w="251"/>
        <w:gridCol w:w="36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Investments contributed $0.2 million and $0.3 million, respectively, to the Company’s revenue, reflecting rental income from owned properties.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Profit - Investments</w:t>
      </w:r>
    </w:p>
    <w:tbl>
      <w:tblPr>
        <w:tblW w:w="10205" w:type="dxa"/>
        <w:jc w:val="left"/>
        <w:tblInd w:w="0" w:type="dxa"/>
        <w:tblLayout w:type="fixed"/>
        <w:tblCellMar>
          <w:top w:w="28" w:type="dxa"/>
          <w:left w:w="28" w:type="dxa"/>
          <w:bottom w:w="28" w:type="dxa"/>
          <w:right w:w="28" w:type="dxa"/>
        </w:tblCellMar>
      </w:tblPr>
      <w:tblGrid>
        <w:gridCol w:w="363"/>
        <w:gridCol w:w="320"/>
        <w:gridCol w:w="300"/>
        <w:gridCol w:w="243"/>
        <w:gridCol w:w="467"/>
        <w:gridCol w:w="137"/>
        <w:gridCol w:w="109"/>
        <w:gridCol w:w="109"/>
        <w:gridCol w:w="109"/>
        <w:gridCol w:w="233"/>
        <w:gridCol w:w="484"/>
        <w:gridCol w:w="130"/>
        <w:gridCol w:w="109"/>
        <w:gridCol w:w="109"/>
        <w:gridCol w:w="109"/>
        <w:gridCol w:w="266"/>
        <w:gridCol w:w="511"/>
        <w:gridCol w:w="149"/>
        <w:gridCol w:w="109"/>
        <w:gridCol w:w="109"/>
        <w:gridCol w:w="109"/>
        <w:gridCol w:w="271"/>
        <w:gridCol w:w="271"/>
        <w:gridCol w:w="273"/>
        <w:gridCol w:w="109"/>
        <w:gridCol w:w="109"/>
        <w:gridCol w:w="109"/>
        <w:gridCol w:w="243"/>
        <w:gridCol w:w="467"/>
        <w:gridCol w:w="137"/>
        <w:gridCol w:w="109"/>
        <w:gridCol w:w="109"/>
        <w:gridCol w:w="109"/>
        <w:gridCol w:w="233"/>
        <w:gridCol w:w="484"/>
        <w:gridCol w:w="130"/>
        <w:gridCol w:w="109"/>
        <w:gridCol w:w="109"/>
        <w:gridCol w:w="109"/>
        <w:gridCol w:w="266"/>
        <w:gridCol w:w="511"/>
        <w:gridCol w:w="149"/>
        <w:gridCol w:w="109"/>
        <w:gridCol w:w="109"/>
        <w:gridCol w:w="109"/>
        <w:gridCol w:w="252"/>
        <w:gridCol w:w="252"/>
        <w:gridCol w:w="37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Investments contributed $0.1 million and $0.2 million, respectively, to the Company's gross profit, reflecting rental income after accounting for property depreciation.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SG&amp;A and Non-Op - Investments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0"/>
        <w:gridCol w:w="449"/>
        <w:gridCol w:w="375"/>
        <w:gridCol w:w="204"/>
        <w:gridCol w:w="392"/>
        <w:gridCol w:w="267"/>
        <w:gridCol w:w="109"/>
        <w:gridCol w:w="109"/>
        <w:gridCol w:w="109"/>
        <w:gridCol w:w="223"/>
        <w:gridCol w:w="462"/>
        <w:gridCol w:w="124"/>
        <w:gridCol w:w="109"/>
        <w:gridCol w:w="109"/>
        <w:gridCol w:w="109"/>
        <w:gridCol w:w="237"/>
        <w:gridCol w:w="455"/>
        <w:gridCol w:w="133"/>
        <w:gridCol w:w="109"/>
        <w:gridCol w:w="109"/>
        <w:gridCol w:w="109"/>
        <w:gridCol w:w="254"/>
        <w:gridCol w:w="254"/>
        <w:gridCol w:w="256"/>
        <w:gridCol w:w="109"/>
        <w:gridCol w:w="109"/>
        <w:gridCol w:w="109"/>
        <w:gridCol w:w="204"/>
        <w:gridCol w:w="392"/>
        <w:gridCol w:w="267"/>
        <w:gridCol w:w="109"/>
        <w:gridCol w:w="109"/>
        <w:gridCol w:w="109"/>
        <w:gridCol w:w="223"/>
        <w:gridCol w:w="462"/>
        <w:gridCol w:w="124"/>
        <w:gridCol w:w="109"/>
        <w:gridCol w:w="109"/>
        <w:gridCol w:w="109"/>
        <w:gridCol w:w="237"/>
        <w:gridCol w:w="455"/>
        <w:gridCol w:w="133"/>
        <w:gridCol w:w="109"/>
        <w:gridCol w:w="109"/>
        <w:gridCol w:w="109"/>
        <w:gridCol w:w="237"/>
        <w:gridCol w:w="237"/>
        <w:gridCol w:w="350"/>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in millions</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and Non-Op as a percentage of revenue</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Investments SG&amp;A and Non-Op was $0.2 million and $0.3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(Loss) Income and EBITDA - Investments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72"/>
        <w:gridCol w:w="415"/>
        <w:gridCol w:w="417"/>
        <w:gridCol w:w="201"/>
        <w:gridCol w:w="411"/>
        <w:gridCol w:w="263"/>
        <w:gridCol w:w="109"/>
        <w:gridCol w:w="109"/>
        <w:gridCol w:w="109"/>
        <w:gridCol w:w="223"/>
        <w:gridCol w:w="462"/>
        <w:gridCol w:w="124"/>
        <w:gridCol w:w="109"/>
        <w:gridCol w:w="109"/>
        <w:gridCol w:w="109"/>
        <w:gridCol w:w="224"/>
        <w:gridCol w:w="474"/>
        <w:gridCol w:w="124"/>
        <w:gridCol w:w="109"/>
        <w:gridCol w:w="109"/>
        <w:gridCol w:w="109"/>
        <w:gridCol w:w="254"/>
        <w:gridCol w:w="254"/>
        <w:gridCol w:w="255"/>
        <w:gridCol w:w="109"/>
        <w:gridCol w:w="109"/>
        <w:gridCol w:w="109"/>
        <w:gridCol w:w="201"/>
        <w:gridCol w:w="424"/>
        <w:gridCol w:w="263"/>
        <w:gridCol w:w="109"/>
        <w:gridCol w:w="109"/>
        <w:gridCol w:w="109"/>
        <w:gridCol w:w="223"/>
        <w:gridCol w:w="462"/>
        <w:gridCol w:w="124"/>
        <w:gridCol w:w="109"/>
        <w:gridCol w:w="109"/>
        <w:gridCol w:w="109"/>
        <w:gridCol w:w="224"/>
        <w:gridCol w:w="478"/>
        <w:gridCol w:w="124"/>
        <w:gridCol w:w="109"/>
        <w:gridCol w:w="109"/>
        <w:gridCol w:w="109"/>
        <w:gridCol w:w="237"/>
        <w:gridCol w:w="237"/>
        <w:gridCol w:w="346"/>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(loss) </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(loss) as a percentage of revenue</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Investments operating loss was $0.1 million for three and six months ended June 30, 2026, with EBITDA loss of $0.1 million, or 35% of revenue for the three months ended June 30, 2026 and $0.01 million, or 3% of revenue for the six months ended June 30,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Corporate Expenses, Net of Corporate Management Expense Allocations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 expenses were $1.8 million for the three months ended June 30, 2026 as compared to $1.1 million for the same period in 2025, representing an increase of $0.7 million. The increase in corporate expenses was primarily driven by higher compensation costs, reflecting increased salaries and related expenses associated with the acquisition of Star Operating Companies.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corporate expenses were $3.4 million compared to $2.1 million for the same period in 2025, representing an increase of $1.3 million. The increase in corporate expenses was primarily driven by the same reason noted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Depreciation and Amortization Expense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included in operating expenses was $0.3 million and $0.6 million for the three and six months ended June 30, 2026, compared to $0.2 million and $0.5 million for the same periods in 2025. Depreciation and amortization expense included in cost of revenues was $0.6 million and $1.2 million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was $0.0 million and $0.0 million for the three and six months ended June 30, 2026, compared to net interest income of $0.1 million for each of the same periods in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other expense was $0.2 million for the three and six months ended June 30, 2026, compared to net other expense of $0.2 million and $0.3 million for the same periods in 2025.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six months ended June 30, 2026 was $0.0 million on $5.6 million of pre-tax loss, compared to a provision for income tax of $0.4 million on $2.1 million of pre-tax loss for the same period in 2025. The effective tax rates for the six months ended June 30, 2026 and 2025 were negative 0.08% and negative 18%, respectively. For the six months ended June 30, 2026, the effective tax rates differed from the U.S. Federal statutory rate of 21% primarily due to pretax losses for which no tax benefit can be recognized, foreign tax rate differences, and non-deductible expenses. For the six months ended June 30, 2025, the effective tax rates differed from the U.S. Federal statutory rate of 21% primarily due to pretax losses for which no tax benefit can be recognized, foreign tax rate differences, and non-deductible expenses. The current year-to-date effective tax rate differs significantly from the prior period effective tax rate primarily due to the interaction of rate reconciliation items, including changes in valuation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common shareholders was $2.5 million for the three months ended June 30, 2026, compared to net loss of $0.7 million for the three months ended June 30, 2025, an increase in net loss of $1.8 million. Basic and diluted loss per share were both $0.66 for the three months ended June 30, 2026, compared to basic and diluted loss per share of $0.23 for the same period in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common shareholders was $6.8 million for the six months ended June 30, 2026, compared to net loss of $2.4 million for the six months ended June 30, 2025, an increase in net loss of $4.4 million. Basic and diluted loss per share were both $1.84 for the six months ended June 30, 2026, compared to basic and diluted loss per share of $0.82 for the same period in 2025.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Liquidity and Capital Resources</w:t>
      </w: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As of June 30, 2026, cash and cash equivalents and restricted cash totaled $8.9 million, compared to $13.4 million as of December 31, 2025. The following table summarizes the Company’s cash flow activities for the six months ended June 30, 2026 and 2025:</w:t>
      </w:r>
    </w:p>
    <w:tbl>
      <w:tblPr>
        <w:tblW w:w="8242" w:type="dxa"/>
        <w:jc w:val="left"/>
        <w:tblInd w:w="0" w:type="dxa"/>
        <w:tblLayout w:type="fixed"/>
        <w:tblCellMar>
          <w:top w:w="28" w:type="dxa"/>
          <w:left w:w="28" w:type="dxa"/>
          <w:bottom w:w="28" w:type="dxa"/>
          <w:right w:w="28" w:type="dxa"/>
        </w:tblCellMar>
      </w:tblPr>
      <w:tblGrid>
        <w:gridCol w:w="1824"/>
        <w:gridCol w:w="1603"/>
        <w:gridCol w:w="1613"/>
        <w:gridCol w:w="109"/>
        <w:gridCol w:w="109"/>
        <w:gridCol w:w="109"/>
        <w:gridCol w:w="299"/>
        <w:gridCol w:w="689"/>
        <w:gridCol w:w="166"/>
        <w:gridCol w:w="166"/>
        <w:gridCol w:w="166"/>
        <w:gridCol w:w="166"/>
        <w:gridCol w:w="299"/>
        <w:gridCol w:w="689"/>
        <w:gridCol w:w="235"/>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erif" w:hAnsi="Times New Roman;serif"/>
          <w:b w:val="false"/>
          <w:color w:val="000000"/>
          <w:sz w:val="18"/>
        </w:rPr>
        <w:t>*2026 does not sum due to rounding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the six months ended June 30, 2026, net cash used in operating activities was $3.1 million, compared to $0.7 million during the same period in 2025, resulting in a $2.5 million increase in net cash used. The decline was primarily driven by the Company's higher net loss in 2026 compared to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the six months ended June 30, 2026, net cash provided by investing activities was $0.6 million compared to $0.0 million of net cash used in investing activities in 2025. Investing activities in 2026 primarily reflects $3.2 million of proceeds from a sale-leaseback of real estate, $1.1 million from sales of equity securities, $0.4 million from the sale of lost-in-hole equipment, and $0.2 million from note receivable repayments, partially offset by $2.8 million of capital expenditures and $1.6 million of equity security 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the six months ended June 30, 2026, net cash used in financing activities was $1.8 million, compared to net cash used in financing activities of $0.0 million in 2025. Net cash used in 2026 primarily reflects preferred stock dividends paid of $1.2 million in the current year, treasury stock repurchases of $0.9 million, and net debt repayments of $0.5 million, partially offset by $0.8 million of proceeds from the issuance of preferred stock under the Company’s at</w:t>
        <w:noBreakHyphen/>
        <w:t>the</w:t>
        <w:noBreakHyphen/>
        <w:t>market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Facilities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See Note </w:t>
      </w:r>
      <w:r>
        <w:rPr>
          <w:rFonts w:ascii="Times New Roman;serif" w:hAnsi="Times New Roman;serif"/>
          <w:b w:val="false"/>
          <w:color w:val="000000"/>
          <w:sz w:val="20"/>
        </w:rPr>
        <w:t>9,</w:t>
      </w:r>
      <w:r>
        <w:rPr>
          <w:color w:val="000000"/>
          <w:shd w:fill="FFFFFF" w:val="clear"/>
        </w:rPr>
        <w:t xml:space="preserve"> </w:t>
      </w:r>
      <w:r>
        <w:rPr>
          <w:rFonts w:ascii="Times New Roman;serif" w:hAnsi="Times New Roman;serif"/>
          <w:b w:val="false"/>
          <w:color w:val="000000"/>
          <w:sz w:val="20"/>
          <w:shd w:fill="FFFFFF" w:val="clear"/>
        </w:rPr>
        <w:t>Debt, in the accompanying notes to the condensed consolidated financial statements for further details.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 Outlook</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As of June 30, 2026, the Company had cash and cash equivalents on hand of $6.8 million, as well as our lines of credit and other debt instruments. During the three months ended June 30, 2026, the Company raised $790 in net proceeds through sales of shares of its 10% Series A Cumulative Perpetual Preferred Stock under an At Market Issuance Sales Agreement entered into in May 2026. Other than as described above, the Company has no financial guarantees, outstanding debt or other lease agreements or arrangements that could trigger a requirement for an early payment or that could change the value of our assets. The Company believes that it has sufficient liquidity to satisfy its needs through at least the next 12 months, based on the Company’s financial position as of June 30, 2026. The Company’s near-term cash requirements during 2026 are primarily related to the funding of the Company’s operations.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As of June 30, 2026, $2.1 million of the Company’s cash and cash equivalents noted above were held in the U.S. and the remainder were held outside the U.S., primarily in the U.K. ($1.3 million), Singapore ($1.0 million), Hong Kong ($0.6 million), the Philippines ($0.4 million), and China ($0.3 million). The majority of the Company’s offshore cash is available to it as a source of funds, net of any tax obligations or assessments.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As of June 30, 2026, the Company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From time to time in the ordinary course of business, the Company is subject to compliance audits by U.S. federal, state, local, and foreign government regulatory, tax, and other authorities relating to a variety of regulations, including wage and hour laws, unemployment taxes, workers' compensation, immigration, and income, value-added, and sales taxes. The Company is also subject to, from time to time in the ordinary course of business, various claims, lawsuits, and other complaints from, for example, clients, candidates, suppliers, landlords for both leased and subleased properties, former and current employees, and regulators or tax authorities. Periodic events and management actions such as business reorganization initiatives can change the number and types of audits, claims, lawsuits, contract disputes, or complaints asserted against the Company. Such events can also change the likelihood of assertion and the behavior of third parties to reach resolution regarding such matters.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economic conditions in the recent past have given rise to many news reports and bulletins from clients, tax authorities, and other parties about changes in their procedures for audits, payment, plans to challenge existing contracts, and other such matters aimed at being more aggressive in the resolution of such matters in their own favor. The Company believes that it has appropriate procedures in place for identifying and communicating any matters of this type, whether asserted or likely to be asserted, and it evaluates its liabilities in light of the prevailing circumstances. Changes in the behavior of third parties could cause the Company to change its view of the likelihood of a claim and what might constitute a trend. 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- 56 -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laws vary in the markets in which we operate, and in some cases, employees and former employees have extended periods during which they may bring claims against the Company.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matters that reach the threshold of probable and estimable, the Company establishes reserves for legal, regulatory, and other contingent liabilities. The Company had $0.2 million of legal reserves as of both June 30, 2026 and December 31, 2025. Although the outcome of these matters cannot be determined, the Company believes that none of the currently pending matters, individually or in the aggregate, will have a material adverse effect on the Company’s financial condition, results of operations or liquidity.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See Note 3 to the Condensed Consolidated Financial Statements in Part I, Item 1 of this Form 10-Q for a full description of relevant accounting pronouncements, including the respective expected dates of adoption.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See “Critical Accounting Estimates” under Item 7 of the Company’s Annual Report on Form 10-K for the fiscal year ended December 31, 2025 filed with the SEC on March 20, 2026 and incorporated by reference herein. There were no changes to the Company’s critical accounting policies or estimates during the six months ended June 30, 2026.</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- 57 -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Form 10-Q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Form 10-Q, including statements regarding the Company’s future financial condition, results of operations, business operations and business prospects, are forward-looking statements. Words such as “anticipate,” “estimate,” “expect,” “project,” “intend,” “plan,” “predict,” “believe,” and similar words, expressions, and variations of these words and expressions are intended to identify forward-looking statements. All forward-looking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changes in the cost and availability of commodities, materials, and equipment, (3) risks related to providing uninterrupted service to clients, (4) the ability of clients to terminate their relationship with the Company at any time, (5) risks associated with real estate ownership, (6) the Company’s ability to successfully achieve its strategic initiatives, (7) risks related to fluctuations in the Company’s operating results from quarter to quarter, (8) risks related to potential acquisitions or dispositions of businesses by the Company, (9) our profitability and growth being tied to the success of our operating businesses, (10) risks associated with our financial investments in other businesses, (11) our ability to improve existing products and services and develop, introduce, and market new products and services successfully, (12) the loss of or material reduction in our business with any of the Company’s largest customers, (13) competition in the Company’s markets, (14) risks related to potential decreases in demand for products, (15) our ability to maintain costs at an acceptable level, (16) the negative cash flows and operating losses that may recur in the future, (17) risks related to international operations, including foreign currency fluctuations, political events, trade wars, natural disasters or health crises, including the Russia-Ukraine war and conflict in the Middle East, (18) risks relating to how future credit facilities may affect or restrict our operating flexibility, (19) our ability to generate or borrow sufficient cash to make payments on our indebtedness, (20) risks related to indebtedness, (21) risks associated with the Company’s investment strategy, (22) the Company’s dependence on key management personnel, (23) the Company’s ability to attract and retain highly skilled professionals, management, and advisors, (24) the Company’s ability to collect accounts receivable, (25) the Company’s exposure to legal proceedings, investigations and disputes, and limits on related insurance coverage, (26) the Company’s ability to utilize net operating loss carryforwards, (27) the potential for goodwill impairment, (28) volatility of the Company’s stock price, (29) risks related to our historically low trading volume, (30) risks related to securities or industry analysts, (31) the Company’s ability to declare dividends, (32) risks associated with failure to pay dividends on our Series A Preferred Stock, (33) our history of annual net losses, (34) risks related to our international operations, (35) risks related to compliance with federal and state laws, regulations, and other rules, (36) our exposure to employment-related claims, legal liability, and costs from clients, employees, and regulatory authorities, (37) risks related to the imposition of licensing or tax requirements or new regulations, (38) the effect of Anti-takeover provisions in our organizational documents, (39) the effect of the protective amendment contained in our Restated Certificate of Incorporation, (40) the impact of our stockholder rights plan, or “poison pill,” on stockholder decision making, (41) risks related to our scaled disclosure requirements as a smaller reporting company, (42) the Company’s heavy reliance on information systems and the impact of potentially losing or failing to develop technology, (43) the adverse impacts of cybersecurity threats and attacks, and (44) risks related to the use of new and evolving technologies. The foregoing list should not be construed to be exhaustive. Actual results could differ materially from the forward-looking statements contained in this Form 10-Q. In view of these uncertainties, you should not place undue reliance on any forward-looking statements, which are based on our current expectations. These forward-looking statements speak only as of the date of this Form 10-Q. The Company assumes no obligation, and expressly disclaims any obligation, to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Company is a smaller reporting company as defined by Rule 12b-2 of the Exchange Act and is not required to provide the information required under this Item.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both"/>
        <w:rPr/>
      </w:pPr>
      <w:r>
        <w:rPr>
          <w:rFonts w:ascii="Times New Roman;serif" w:hAnsi="Times New Roman;serif"/>
          <w:b/>
          <w:color w:val="000000"/>
          <w:sz w:val="20"/>
        </w:rPr>
        <w:t>Disclosure Controls and Procedures</w:t>
      </w: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Company’s management, with the participation of the Company’s Chief Executive Officer and Principal Financial Officer, has conducted an evaluation of the design and operation of the Company’s disclosure controls and procedures, as such term is defined under Rule 13a-15(e) of the Securities Exchange Act of 1934, as amended. Based on this evaluation, the Company’s Chief Executive Officer and Principal Financial Officer concluded that the Company’s disclosure controls and procedures were effective as of June 30, 2026. However, such controls and procedures are designed only to provide reasonable assurance. There is no complete assurance that these controls and procedures will operate effectively under all circumstances.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determined that the effectiveness of ADT’s controls will be assessed in the second half of 2026.</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Changes in Internal Control Over Financial Reporting</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that occurred during the six months ended June 30, 2026 that have materially affected, or are reasonably likely to materially affect, the Company’s internal control over financial reporting, except as noted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22, 2025 we completed the merger with Star Operating Companies ("SOC"). As a result of this transaction, we have begun integrating the operations, systems, and internal controls of SOC into our existing processes. This integration is ongoing and includes aligning accounting policies, consolidating financial reporting systems, and implementing our internal control framework across the combined entity. These activities represent a change to our internal control over financial reporting. While we do not believe these changes have materially affected our internal control over financial reporting at this time, the integration process may result in additional changes in future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SOC merger, we acquired Alliance Drilling Tools ("ADT"). Consistent with SEC guidance permitting the exclusion of an acquired business from an assessment of internal control over financial reporting for a period not to exceed one year from the date of acquisition, management's assessment of internal control over financial reporting as of June 30, 2026 continues to exclude the internal controls of ADT. ADT's operations continue to be integrated into the Company's internal control framework, and management expects to include ADT in its assessment of internal control over financial reporting no later than the third quarter of fiscal year 2026. ADT represented approximately 13% of total assets and 7% of revenues as of and for the six months ended June 30, 2026.</w:t>
      </w:r>
    </w:p>
    <w:p>
      <w:pPr>
        <w:pStyle w:val="TextBody"/>
        <w:bidi w:val="0"/>
        <w:spacing w:before="0" w:after="0"/>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- 59 -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 is subject, from time to time, to various legal proceedings that are incidental to the conduct of its business. The Company is not involved in any pending legal proceeding that it believes would reasonably be expected to have a material adverse effect on its financial condition or results of operations. See Note 20, Commitments and Contingencies within the notes to our Condensed Consolidated Financial Statements for a summary of legal proceedings.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In evaluating us and our securities, we urge you to carefully consider the risks and other information in this Quarterly Report on Form 10-Q, the Risk Factors disclosed in Item 1A. of Part I of our Annual Report on Form 10-K for the fiscal year ended December 31, 2025, as well as additional risks and uncertainties not currently known to us or that we currently deem immaterial, that could materially and adversely affect our results of operations or financial condition.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53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Repurchases of Shares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following table summarizes purchases of common stock by the Company during the quarter ended June 30, 2026.</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420"/>
        <w:gridCol w:w="420"/>
        <w:gridCol w:w="421"/>
        <w:gridCol w:w="109"/>
        <w:gridCol w:w="109"/>
        <w:gridCol w:w="109"/>
        <w:gridCol w:w="508"/>
        <w:gridCol w:w="1446"/>
        <w:gridCol w:w="286"/>
        <w:gridCol w:w="109"/>
        <w:gridCol w:w="109"/>
        <w:gridCol w:w="109"/>
        <w:gridCol w:w="465"/>
        <w:gridCol w:w="465"/>
        <w:gridCol w:w="466"/>
        <w:gridCol w:w="109"/>
        <w:gridCol w:w="109"/>
        <w:gridCol w:w="109"/>
        <w:gridCol w:w="320"/>
        <w:gridCol w:w="1427"/>
        <w:gridCol w:w="25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Total Number</w:t>
              <w:br/>
              <w:t> of Shares </w:t>
              <w:br/>
              <w:t xml:space="preserve">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w:t>
              <w:br/>
              <w:t>Shares </w:t>
              <w:br/>
              <w:t>Purchased as</w:t>
              <w:br/>
              <w:t>Part of Publicly</w:t>
              <w:br/>
              <w:t>Announced </w:t>
              <w:br/>
              <w:t xml:space="preserve">Plans </w:t>
              <w:br/>
              <w:t xml:space="preserve">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w:t>
              <w:br/>
              <w:t>Value of Shares</w:t>
              <w:br/>
              <w:t>that May Yet Be</w:t>
              <w:br/>
              <w:t>Purchased Under</w:t>
              <w:br/>
              <w:t xml:space="preserve">the Plans or Programs </w:t>
            </w:r>
            <w:r>
              <w:rPr>
                <w:rFonts w:ascii="Times New Roman;serif" w:hAnsi="Times New Roman;serif"/>
                <w:b/>
                <w:color w:val="000000"/>
                <w:sz w:val="12"/>
              </w:rPr>
              <w:t>(a)</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1,655,475 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1,611,992 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1,611,992 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15,833 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15,833 </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pPr>
      <w:r>
        <w:rPr>
          <w:rFonts w:ascii="Times New Roman;serif" w:hAnsi="Times New Roman;serif"/>
          <w:b w:val="false"/>
          <w:color w:val="242424"/>
          <w:sz w:val="20"/>
        </w:rPr>
        <w:t>(a)</w:t>
      </w:r>
      <w:r>
        <w:rPr>
          <w:rFonts w:ascii="Times New Roman;serif" w:hAnsi="Times New Roman;serif"/>
          <w:b w:val="false"/>
          <w:color w:val="000000"/>
          <w:sz w:val="20"/>
        </w:rPr>
        <w:t>On August 8, 2023, the Company’s Board of Directors authorized a share repurchase program for up to $5 million of the Company’s outstanding common stock. The Company continues to view share repurchases as an attractive use of capital and may repurchase shares from time to time, as market conditions warrant, through open market purchases, privately negotiated transactions, block trades, or other methods, in accordance with applicable federal securities laws, including Rule 10b-18 of the Securities Exchange Act of 1934 (the “Exchange Act”).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2025, the Company completed its $5 million share repurchase program authorized on August 8, 2023. On September 10, 2025, the Board of Directors authorized a new common stock repurchase program under which the Company may repurchase up to $3 million of its outstanding common stock. During the six months ended June 30, 2026, the Company repurchased on the open market a total of 86,257 shares of its common stock for an aggregate cost of $0.9 million under these authorizations. As of June 30, 2026, under the July 30, 2015, August 8, 2023 and September 10, 2025 authorizations combined, the Company had repurchased an aggregate of 1,034,639 shares for a total cost of $16.4 million, completing the August 8, 2023 authorization and leaving $1.6 million available for purchase under the September 10, 2025 authorization. During the six months ended June 30, 2025, no repurchases of shares were made by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31, 2025, we adopted a Rule 10b-18 and 10b5-1 trading plan (the "10b5-1 Plan") which allows the Company to purchase shares of our common stock under our announced repurchase programs during certain restricted blackout periods. The 10b5-1 Plan allows for the purchase of up to an aggregate of the lower of (i) common stock totaling a combined $2,000,000 purchase price, excluding commissions; or (ii) 350,000 shares of common stock. Shares of common stock purchased pursuant to the 10b5-1 Plan may only be purchased in accordance with trading requirements adopted by the Company and there can be no assurance as to how many shares of common stock, if any, will be purchased pursuant to the 10b5-1 Plan or at what price any such shares of common stock will be purchased.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- 60 -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executive officers adopted or terminated a Rule 10b5-1 trading arrangement or a non-Rule 10b5-1 trading arrangement during the Company’s fiscal quarter ended June 30, 2026, as such terms are defined under Item 408(a) or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STAR EQUITY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180" w:after="283"/>
        <w:jc w:val="both"/>
        <w:rPr/>
      </w:pPr>
      <w:r>
        <w:rPr/>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exhibits to this Form 10-Q are listed in the following Exhibit Index:</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652"/>
        <w:gridCol w:w="2652"/>
        <w:gridCol w:w="3789"/>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3"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3"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3"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trr-20260630exx311.htm">
              <w:r>
                <w:rPr>
                  <w:rStyle w:val="InternetLink"/>
                  <w:rFonts w:ascii="Times New Roman;serif" w:hAnsi="Times New Roman;serif"/>
                  <w:b w:val="false"/>
                  <w:color w:val="0000FF"/>
                  <w:sz w:val="20"/>
                  <w:u w:val="single"/>
                </w:rPr>
                <w:t>Certification by the Chief Executive Officer pursuant to Section 302 of the Sarbanes-Oxley Act.</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trr-20260630exx312.htm">
              <w:r>
                <w:rPr>
                  <w:rStyle w:val="InternetLink"/>
                  <w:rFonts w:ascii="Times New Roman;serif" w:hAnsi="Times New Roman;serif"/>
                  <w:b w:val="false"/>
                  <w:color w:val="0000FF"/>
                  <w:sz w:val="20"/>
                  <w:u w:val="single"/>
                </w:rPr>
                <w:t>Certification by the Principal Financial Officer pursuant to Section 302 of the Sarbanes-Oxley Act.</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trr-20260630exx321.htm">
              <w:r>
                <w:rPr>
                  <w:rStyle w:val="InternetLink"/>
                  <w:rFonts w:ascii="Times New Roman;serif" w:hAnsi="Times New Roman;serif"/>
                  <w:b w:val="false"/>
                  <w:color w:val="0000FF"/>
                  <w:sz w:val="20"/>
                  <w:u w:val="single"/>
                </w:rPr>
                <w:t>Certification of the Chief Executive Officer pursuant to 18 U.S.C. Section 1350.</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trr-20260630exx322.htm">
              <w:r>
                <w:rPr>
                  <w:rStyle w:val="InternetLink"/>
                  <w:rFonts w:ascii="Times New Roman;serif" w:hAnsi="Times New Roman;serif"/>
                  <w:b w:val="false"/>
                  <w:color w:val="0000FF"/>
                  <w:sz w:val="20"/>
                  <w:u w:val="single"/>
                </w:rPr>
                <w:t>Certification of the Principal Financial Officer pursuant to 18 U.S.C. Section 1350.</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Star Equity Holdings, Inc.’s Quarterly Report on Form 10-Q for the quarter ended June 30, 2026 are filed herewith, formatted in iXBRL (Inline Extensible Business Reporting Language): (i) the Condensed Consolidated Statements of Operations for the three months and six months ended June 30, 2026 and 2025, (ii) the Condensed Consolidated Statements of Other Comprehensive Income (Loss) for the three months and six months ended June 30, 2026 and 2025, (iii) the Condensed Consolidated Balance Sheets as of June 30, 2026 and December 31, 2025, (iv) the Condensed Consolidated Statements of Cash Flows for the six months ended June 30, 2026 and 2025, (v) the Condensed Consolidated Statements of Stockholders’ Equity for the three months and six months ended June 30, 2026 and 2025, and (vi) Notes to Condensed Consolidated Financial Statements.</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iXBRL and contained in Exhibit 101.</w:t>
            </w:r>
          </w:p>
          <w:p>
            <w:pPr>
              <w:pStyle w:val="TableContents"/>
              <w:bidi w:val="0"/>
              <w:spacing w:lineRule="auto" w:line="240" w:before="0" w:after="0"/>
              <w:jc w:val="both"/>
              <w:rPr>
                <w:color w:val="000000"/>
              </w:rPr>
            </w:pPr>
            <w:r>
              <w:rPr>
                <w:color w:val="000000"/>
              </w:rPr>
              <w:t>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not filed.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- 61 -</w:t>
                      </w:r>
                    </w:p>
                  </w:txbxContent>
                </v:textbox>
                <w10:wrap type="none"/>
              </v:rect>
            </w:pict>
          </mc:Fallback>
        </mc:AlternateContent>
      </w:r>
    </w:p>
    <w:p>
      <w:pPr>
        <w:pStyle w:val="TextBody"/>
        <w:bidi w:val="0"/>
        <w:spacing w:lineRule="auto" w:line="288" w:before="0" w:after="0"/>
        <w:jc w:val="left"/>
        <w:rPr/>
      </w:pPr>
      <w:hyperlink w:anchor="ib2f44d3d18444cbc84f10d8b5054b527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89"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470"/>
        <w:gridCol w:w="470"/>
        <w:gridCol w:w="470"/>
        <w:gridCol w:w="745"/>
        <w:gridCol w:w="745"/>
        <w:gridCol w:w="107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STAR EQUITY HOLDINGS,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E. EBERWEIN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E. Eberwein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- 62 -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Jeffrey E. Eberwein,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Star Equity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559"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715"/>
        <w:gridCol w:w="715"/>
        <w:gridCol w:w="101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E. EBERWEIN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E. Eberwein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Matthew K. Diamond,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Star Equity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88" w:before="0" w:after="0"/>
        <w:jc w:val="left"/>
        <w:rPr>
          <w:color w:val="000000"/>
        </w:rPr>
      </w:pPr>
      <w:r>
        <w:rPr>
          <w:color w:val="000000"/>
        </w:rPr>
        <w:t> </w:t>
      </w:r>
    </w:p>
    <w:tbl>
      <w:tblPr>
        <w:tblW w:w="4679"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751"/>
        <w:gridCol w:w="751"/>
        <w:gridCol w:w="10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I, the undersigned Chief Executive Officer of Star Equity Holdings, Inc. (the “Company”), hereby certify, based on my knowledge, that the Quarterly Report on Form 10-Q of the Company for the quarter ended June 30, 2026 (the "Report") fully complies with the requirements of Section 13(a) of the Securities Exchange Act of 1934 and that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2787" w:type="dxa"/>
        <w:jc w:val="center"/>
        <w:tblInd w:w="0" w:type="dxa"/>
        <w:tblLayout w:type="fixed"/>
        <w:tblCellMar>
          <w:top w:w="28" w:type="dxa"/>
          <w:left w:w="28" w:type="dxa"/>
          <w:bottom w:w="28" w:type="dxa"/>
          <w:right w:w="28" w:type="dxa"/>
        </w:tblCellMar>
      </w:tblPr>
      <w:tblGrid>
        <w:gridCol w:w="875"/>
        <w:gridCol w:w="768"/>
        <w:gridCol w:w="772"/>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E. EBERWEIN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E. Eberwein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the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I, the undersigned Principal Financial Officer of Star Equity Holdings, Inc. (the "Company"), hereby certify, based on my knowledge, that the Quarterly Report on Form 10-Q of the Company for the quarter ended June 30, 2026 (the "Report") fully complies with the requirements of Section 13(a) of the Securities Exchange Act of 1934 and that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906" w:type="dxa"/>
        <w:jc w:val="center"/>
        <w:tblInd w:w="0" w:type="dxa"/>
        <w:tblLayout w:type="fixed"/>
        <w:tblCellMar>
          <w:top w:w="28" w:type="dxa"/>
          <w:left w:w="28" w:type="dxa"/>
          <w:bottom w:w="28" w:type="dxa"/>
          <w:right w:w="28" w:type="dxa"/>
        </w:tblCellMar>
      </w:tblPr>
      <w:tblGrid>
        <w:gridCol w:w="917"/>
        <w:gridCol w:w="807"/>
        <w:gridCol w:w="810"/>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K. DIAMOND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 Diamond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righ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33993</Words>
  <Characters>183452</Characters>
  <CharactersWithSpaces>215492</CharactersWithSpaces>
  <Paragraphs>4233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