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Drake Mimi K</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HUDSON GLOBAL, INC.</w:t>
      </w:r>
    </w:p>
    <w:p>
      <w:pPr>
        <w:spacing w:after="0" w:line="71" w:lineRule="exact"/>
        <w:rPr>
          <w:sz w:val="24"/>
          <w:szCs w:val="24"/>
          <w:color w:val="auto"/>
        </w:rPr>
      </w:pPr>
    </w:p>
    <w:p>
      <w:pPr>
        <w:ind w:left="80" w:right="520" w:firstLine="40"/>
        <w:spacing w:after="0" w:line="417" w:lineRule="auto"/>
        <w:rPr>
          <w:sz w:val="20"/>
          <w:szCs w:val="20"/>
          <w:color w:val="auto"/>
        </w:rPr>
      </w:pPr>
      <w:r>
        <w:rPr>
          <w:rFonts w:ascii="Arial" w:cs="Arial" w:eastAsia="Arial" w:hAnsi="Arial"/>
          <w:sz w:val="17"/>
          <w:szCs w:val="17"/>
          <w:color w:val="0000FF"/>
        </w:rPr>
        <w:t xml:space="preserve">53 FOREST AVENUE, SUITE 102 </w:t>
      </w:r>
      <w:r>
        <w:rPr>
          <w:rFonts w:ascii="Arial" w:cs="Arial" w:eastAsia="Arial" w:hAnsi="Arial"/>
          <w:sz w:val="13"/>
          <w:szCs w:val="13"/>
          <w:color w:val="000000"/>
        </w:rPr>
        <w:t>(Street)</w:t>
      </w:r>
    </w:p>
    <w:p>
      <w:pPr>
        <w:ind w:left="120" w:right="120"/>
        <w:spacing w:after="0"/>
        <w:rPr>
          <w:sz w:val="20"/>
          <w:szCs w:val="20"/>
          <w:color w:val="auto"/>
        </w:rPr>
      </w:pPr>
      <w:r>
        <w:rPr>
          <w:rFonts w:ascii="Arial" w:cs="Arial" w:eastAsia="Arial" w:hAnsi="Arial"/>
          <w:sz w:val="34"/>
          <w:szCs w:val="34"/>
          <w:color w:val="0000FF"/>
          <w:vertAlign w:val="superscript"/>
        </w:rPr>
        <w:t>OLD</w:t>
      </w:r>
      <w:r>
        <w:rPr>
          <w:rFonts w:ascii="Arial" w:cs="Arial" w:eastAsia="Arial" w:hAnsi="Arial"/>
          <w:sz w:val="17"/>
          <w:szCs w:val="17"/>
          <w:color w:val="0000FF"/>
        </w:rPr>
        <w:t xml:space="preserve"> CT 06870 GREENWICH</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Hudson Global,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HSON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80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20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4,194</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32,052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 Units credited to the reporting person's account under the Hudson Global, Inc. (the "Company") Director Deferred Share Plan. Each Share Unit is the economic equivalent of one share of Common Stock. Share Units are payable only in Common Stock up to 90 days after a director's separation from service.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Matthew K. Diamond,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21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Mimi K.</w:t>
      </w:r>
      <w:r>
        <w:rPr>
          <w:sz w:val="20"/>
          <w:szCs w:val="20"/>
          <w:color w:val="auto"/>
        </w:rPr>
        <w:tab/>
      </w:r>
      <w:r>
        <w:rPr>
          <w:rFonts w:ascii="Arial" w:cs="Arial" w:eastAsia="Arial" w:hAnsi="Arial"/>
          <w:sz w:val="15"/>
          <w:szCs w:val="15"/>
          <w:color w:val="0000FF"/>
        </w:rPr>
        <w:t>11/13/2023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Drake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7481" TargetMode="External"/><Relationship Id="rId13"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2023-11-13T17:36:01Z</dcterms:created>
  <dcterms:modified xsi:type="dcterms:W3CDTF">2023-11-13T17:36:01Z</dcterms:modified>
</cp:coreProperties>
</file>