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Star Equity Holdings, Inc.</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tbl>
      <w:tblPr>
        <w:tblLayout w:type="fixed"/>
        <w:tblInd w:w="880" w:type="dxa"/>
        <w:tblCellMar>
          <w:top w:w="0" w:type="dxa"/>
          <w:left w:w="0" w:type="dxa"/>
          <w:bottom w:w="0" w:type="dxa"/>
          <w:right w:w="0" w:type="dxa"/>
        </w:tblCellMar>
      </w:tblPr>
      <w:tr>
        <w:trPr>
          <w:trHeight w:val="229"/>
        </w:trPr>
        <w:tc>
          <w:tcPr>
            <w:tcW w:w="320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001-38704</w:t>
            </w:r>
          </w:p>
        </w:tc>
        <w:tc>
          <w:tcPr>
            <w:tcW w:w="26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59-3547281</w:t>
            </w:r>
          </w:p>
        </w:tc>
      </w:tr>
      <w:tr>
        <w:trPr>
          <w:trHeight w:val="184"/>
        </w:trPr>
        <w:tc>
          <w:tcPr>
            <w:tcW w:w="3200" w:type="dxa"/>
            <w:vAlign w:val="bottom"/>
          </w:tcPr>
          <w:p>
            <w:pPr>
              <w:jc w:val="center"/>
              <w:ind w:right="1050"/>
              <w:spacing w:after="0" w:line="18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42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660" w:type="dxa"/>
            <w:vAlign w:val="bottom"/>
          </w:tcPr>
          <w:p>
            <w:pPr>
              <w:jc w:val="center"/>
              <w:ind w:left="11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20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34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6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3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53 Forest Avenue, Suite 101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Old Greenwich, CT 06870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135"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(203) 489-9500</w:t>
      </w:r>
    </w:p>
    <w:p>
      <w:pPr>
        <w:spacing w:after="0" w:line="185"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ind w:right="6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480" w:hanging="436"/>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520" w:hanging="449"/>
        <w:spacing w:after="0"/>
        <w:tabs>
          <w:tab w:leader="none" w:pos="5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Wingdings" w:cs="Wingdings" w:eastAsia="Wingdings" w:hAnsi="Wingdings"/>
          <w:sz w:val="18"/>
          <w:szCs w:val="18"/>
          <w:b w:val="1"/>
          <w:bCs w:val="1"/>
          <w:color w:val="auto"/>
        </w:rPr>
      </w:pPr>
    </w:p>
    <w:p>
      <w:pPr>
        <w:ind w:left="520" w:hanging="449"/>
        <w:spacing w:after="0"/>
        <w:tabs>
          <w:tab w:leader="none" w:pos="5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Wingdings" w:cs="Wingdings" w:eastAsia="Wingdings" w:hAnsi="Wingdings"/>
          <w:sz w:val="18"/>
          <w:szCs w:val="18"/>
          <w:b w:val="1"/>
          <w:bCs w:val="1"/>
          <w:color w:val="auto"/>
        </w:rPr>
      </w:pPr>
    </w:p>
    <w:p>
      <w:pPr>
        <w:ind w:right="2740" w:firstLine="71"/>
        <w:spacing w:after="0" w:line="383" w:lineRule="auto"/>
        <w:tabs>
          <w:tab w:leader="none" w:pos="508"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900" w:type="dxa"/>
        <w:tblCellMar>
          <w:top w:w="0" w:type="dxa"/>
          <w:left w:w="0" w:type="dxa"/>
          <w:bottom w:w="0" w:type="dxa"/>
          <w:right w:w="0" w:type="dxa"/>
        </w:tblCellMar>
      </w:tblPr>
      <w:tr>
        <w:trPr>
          <w:trHeight w:val="195"/>
        </w:trPr>
        <w:tc>
          <w:tcPr>
            <w:tcW w:w="880" w:type="dxa"/>
            <w:vAlign w:val="bottom"/>
          </w:tcPr>
          <w:p>
            <w:pPr>
              <w:spacing w:after="0"/>
              <w:rPr>
                <w:sz w:val="16"/>
                <w:szCs w:val="16"/>
                <w:color w:val="auto"/>
              </w:rPr>
            </w:pPr>
          </w:p>
        </w:tc>
        <w:tc>
          <w:tcPr>
            <w:tcW w:w="13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1360" w:type="dxa"/>
            <w:vAlign w:val="bottom"/>
          </w:tcPr>
          <w:p>
            <w:pPr>
              <w:spacing w:after="0"/>
              <w:rPr>
                <w:sz w:val="16"/>
                <w:szCs w:val="16"/>
                <w:color w:val="auto"/>
              </w:rPr>
            </w:pPr>
          </w:p>
        </w:tc>
        <w:tc>
          <w:tcPr>
            <w:tcW w:w="2740" w:type="dxa"/>
            <w:vAlign w:val="bottom"/>
            <w:gridSpan w:val="3"/>
          </w:tcPr>
          <w:p>
            <w:pPr>
              <w:jc w:val="center"/>
              <w:ind w:right="440"/>
              <w:spacing w:after="0" w:line="195" w:lineRule="exact"/>
              <w:rPr>
                <w:sz w:val="20"/>
                <w:szCs w:val="20"/>
                <w:color w:val="auto"/>
              </w:rPr>
            </w:pPr>
            <w:r>
              <w:rPr>
                <w:rFonts w:ascii="Times New Roman" w:cs="Times New Roman" w:eastAsia="Times New Roman" w:hAnsi="Times New Roman"/>
                <w:sz w:val="18"/>
                <w:szCs w:val="18"/>
                <w:color w:val="auto"/>
                <w:w w:val="98"/>
              </w:rPr>
              <w:t>Trading Symbol(s)</w:t>
            </w:r>
          </w:p>
        </w:tc>
        <w:tc>
          <w:tcPr>
            <w:tcW w:w="32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45"/>
        </w:trPr>
        <w:tc>
          <w:tcPr>
            <w:tcW w:w="35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480" w:type="dxa"/>
            <w:vAlign w:val="bottom"/>
          </w:tcPr>
          <w:p>
            <w:pPr>
              <w:spacing w:after="0"/>
              <w:rPr>
                <w:sz w:val="21"/>
                <w:szCs w:val="21"/>
                <w:color w:val="auto"/>
              </w:rPr>
            </w:pPr>
          </w:p>
        </w:tc>
        <w:tc>
          <w:tcPr>
            <w:tcW w:w="226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color w:val="auto"/>
              </w:rPr>
              <w:t>STRR</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0"/>
        </w:trPr>
        <w:tc>
          <w:tcPr>
            <w:tcW w:w="35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rPr>
              <w:t>Series A Preferred Stock, $0.001 par value</w:t>
            </w:r>
          </w:p>
        </w:tc>
        <w:tc>
          <w:tcPr>
            <w:tcW w:w="480" w:type="dxa"/>
            <w:vAlign w:val="bottom"/>
          </w:tcPr>
          <w:p>
            <w:pPr>
              <w:spacing w:after="0"/>
              <w:rPr>
                <w:sz w:val="19"/>
                <w:szCs w:val="19"/>
                <w:color w:val="auto"/>
              </w:rPr>
            </w:pPr>
          </w:p>
        </w:tc>
        <w:tc>
          <w:tcPr>
            <w:tcW w:w="226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color w:val="auto"/>
                <w:w w:val="98"/>
              </w:rPr>
              <w:t>STRRP</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5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rPr>
              <w:t>Preferred Share Purchase Rights</w:t>
            </w:r>
          </w:p>
        </w:tc>
        <w:tc>
          <w:tcPr>
            <w:tcW w:w="4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0" w:type="dxa"/>
            <w:vAlign w:val="bottom"/>
          </w:tcPr>
          <w:p>
            <w:pPr>
              <w:spacing w:after="0"/>
              <w:rPr>
                <w:sz w:val="20"/>
                <w:szCs w:val="20"/>
                <w:color w:val="auto"/>
              </w:rPr>
            </w:pPr>
          </w:p>
        </w:tc>
      </w:tr>
    </w:tbl>
    <w:p>
      <w:pPr>
        <w:spacing w:after="0" w:line="7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337"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Star Equity Holdings, Inc. (“Star”) held its Annual Meeting of Stockholders on May 27, 2026 (the “Annual Meeting”). As of the close of business on March 31, 2026, the record date for the Annual Meeting, there were 3,707,314 shares of Star’s common stock, par value $0.001 per share (the “Common Stock”), outstanding and entitled to vote. A total of 3,176,323 shares of Common Stock were represented in person or by proxy at the Annual Meeting, which constituted a quorum to conduct business at the meeting. At the Annual Meeting, Star’s stockholders:</w:t>
      </w:r>
    </w:p>
    <w:p>
      <w:pPr>
        <w:spacing w:after="0" w:line="212" w:lineRule="exact"/>
        <w:rPr>
          <w:sz w:val="20"/>
          <w:szCs w:val="20"/>
          <w:color w:val="auto"/>
        </w:rPr>
      </w:pPr>
    </w:p>
    <w:p>
      <w:pPr>
        <w:ind w:right="20" w:firstLine="8"/>
        <w:spacing w:after="0" w:line="266" w:lineRule="auto"/>
        <w:tabs>
          <w:tab w:leader="none" w:pos="25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Elected seven directors to serve on Star’s board of directors until the 2027 Annual Meeting of Stockholders and until their successors are duly elected and qualified (Proposal 1);</w:t>
      </w:r>
    </w:p>
    <w:p>
      <w:pPr>
        <w:spacing w:after="0" w:line="189" w:lineRule="exact"/>
        <w:rPr>
          <w:rFonts w:ascii="Times New Roman" w:cs="Times New Roman" w:eastAsia="Times New Roman" w:hAnsi="Times New Roman"/>
          <w:sz w:val="18"/>
          <w:szCs w:val="18"/>
          <w:color w:val="auto"/>
        </w:rPr>
      </w:pPr>
    </w:p>
    <w:p>
      <w:pPr>
        <w:ind w:right="20" w:firstLine="8"/>
        <w:spacing w:after="0" w:line="266"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on a non-binding advisory basis, the compensation of Star’s named executive officers as disclosed in Star’s proxy statement filed on April 30, 2026 (the “Proxy Statement”) (Proposal 2);</w:t>
      </w:r>
    </w:p>
    <w:p>
      <w:pPr>
        <w:spacing w:after="0" w:line="189" w:lineRule="exact"/>
        <w:rPr>
          <w:rFonts w:ascii="Times New Roman" w:cs="Times New Roman" w:eastAsia="Times New Roman" w:hAnsi="Times New Roman"/>
          <w:sz w:val="18"/>
          <w:szCs w:val="18"/>
          <w:color w:val="auto"/>
        </w:rPr>
      </w:pPr>
    </w:p>
    <w:p>
      <w:pPr>
        <w:ind w:firstLine="8"/>
        <w:spacing w:after="0" w:line="266"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Ratified the appointment of Wolf &amp; Company, P.C. as Star’s independent registered public accounting firm to audit Star’s financial statements for the fiscal year ending December 31, 2026 (Proposal 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on these proposals, please see the Proxy Statement. The voting results for each of these proposals are set forth below:</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 Election of Board of Directors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Nominee</w:t>
            </w:r>
          </w:p>
        </w:tc>
        <w:tc>
          <w:tcPr>
            <w:tcW w:w="2340" w:type="dxa"/>
            <w:vAlign w:val="bottom"/>
            <w:gridSpan w:val="2"/>
          </w:tcPr>
          <w:p>
            <w:pPr>
              <w:ind w:left="800"/>
              <w:spacing w:after="0"/>
              <w:rPr>
                <w:sz w:val="20"/>
                <w:szCs w:val="20"/>
                <w:color w:val="auto"/>
              </w:rPr>
            </w:pPr>
            <w:r>
              <w:rPr>
                <w:rFonts w:ascii="Times New Roman" w:cs="Times New Roman" w:eastAsia="Times New Roman" w:hAnsi="Times New Roman"/>
                <w:sz w:val="16"/>
                <w:szCs w:val="16"/>
                <w:b w:val="1"/>
                <w:bCs w:val="1"/>
                <w:color w:val="auto"/>
              </w:rPr>
              <w:t>Votes For</w:t>
            </w:r>
          </w:p>
        </w:tc>
        <w:tc>
          <w:tcPr>
            <w:tcW w:w="232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Votes Withheld</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Broker Non-Votes</w:t>
            </w:r>
          </w:p>
        </w:tc>
      </w:tr>
      <w:tr>
        <w:trPr>
          <w:trHeight w:val="213"/>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Mimi K. Drake</w:t>
            </w:r>
          </w:p>
        </w:tc>
        <w:tc>
          <w:tcPr>
            <w:tcW w:w="22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2,244,844</w:t>
            </w:r>
          </w:p>
        </w:tc>
        <w:tc>
          <w:tcPr>
            <w:tcW w:w="10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3,617</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927,862</w:t>
            </w:r>
          </w:p>
        </w:tc>
      </w:tr>
      <w:tr>
        <w:trPr>
          <w:trHeight w:val="21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Jeffrey E. Eberwein</w:t>
            </w:r>
          </w:p>
        </w:tc>
        <w:tc>
          <w:tcPr>
            <w:tcW w:w="22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2,205,471</w:t>
            </w:r>
          </w:p>
        </w:tc>
        <w:tc>
          <w:tcPr>
            <w:tcW w:w="10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42,990</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927,862</w:t>
            </w:r>
          </w:p>
        </w:tc>
      </w:tr>
      <w:tr>
        <w:trPr>
          <w:trHeight w:val="21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Todd Fruhbeis</w:t>
            </w:r>
          </w:p>
        </w:tc>
        <w:tc>
          <w:tcPr>
            <w:tcW w:w="22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2,245,179</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3,282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927,862</w:t>
            </w:r>
          </w:p>
        </w:tc>
      </w:tr>
      <w:tr>
        <w:trPr>
          <w:trHeight w:val="21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Connia M. Nelson</w:t>
            </w:r>
          </w:p>
        </w:tc>
        <w:tc>
          <w:tcPr>
            <w:tcW w:w="22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2,204,134</w:t>
            </w:r>
          </w:p>
        </w:tc>
        <w:tc>
          <w:tcPr>
            <w:tcW w:w="10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44,327</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927,862</w:t>
            </w:r>
          </w:p>
        </w:tc>
      </w:tr>
      <w:tr>
        <w:trPr>
          <w:trHeight w:val="21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Jennifer Palmer</w:t>
            </w:r>
          </w:p>
        </w:tc>
        <w:tc>
          <w:tcPr>
            <w:tcW w:w="22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2,244,955</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3,506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927,862</w:t>
            </w:r>
          </w:p>
        </w:tc>
      </w:tr>
      <w:tr>
        <w:trPr>
          <w:trHeight w:val="21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Louis Parks</w:t>
            </w:r>
          </w:p>
        </w:tc>
        <w:tc>
          <w:tcPr>
            <w:tcW w:w="22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2,245,135</w:t>
            </w:r>
          </w:p>
        </w:tc>
        <w:tc>
          <w:tcPr>
            <w:tcW w:w="10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3,326</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927,862</w:t>
            </w:r>
          </w:p>
        </w:tc>
      </w:tr>
      <w:tr>
        <w:trPr>
          <w:trHeight w:val="21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Robert G. Pearse</w:t>
            </w:r>
          </w:p>
        </w:tc>
        <w:tc>
          <w:tcPr>
            <w:tcW w:w="22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2,204,482</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43,979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927,862</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 Approval, on a non-binding advisory basis, of the compensation of Star’s named executive officers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gridSpan w:val="2"/>
          </w:tcPr>
          <w:p>
            <w:pPr>
              <w:ind w:left="1040"/>
              <w:spacing w:after="0"/>
              <w:rPr>
                <w:sz w:val="20"/>
                <w:szCs w:val="20"/>
                <w:color w:val="auto"/>
              </w:rPr>
            </w:pPr>
            <w:r>
              <w:rPr>
                <w:rFonts w:ascii="Times New Roman" w:cs="Times New Roman" w:eastAsia="Times New Roman" w:hAnsi="Times New Roman"/>
                <w:sz w:val="16"/>
                <w:szCs w:val="16"/>
                <w:b w:val="1"/>
                <w:bCs w:val="1"/>
                <w:color w:val="auto"/>
              </w:rPr>
              <w:t>Votes 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Votes 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Abstentions</w:t>
            </w: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Broker Non-Votes</w:t>
            </w:r>
          </w:p>
        </w:tc>
      </w:tr>
      <w:tr>
        <w:trPr>
          <w:trHeight w:val="213"/>
        </w:trPr>
        <w:tc>
          <w:tcPr>
            <w:tcW w:w="274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2,047,900</w:t>
            </w:r>
          </w:p>
        </w:tc>
        <w:tc>
          <w:tcPr>
            <w:tcW w:w="8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rPr>
              <w:t>99,960</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rPr>
              <w:t>100,601</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rPr>
              <w:t>927,862</w:t>
            </w:r>
          </w:p>
        </w:tc>
      </w:tr>
    </w:tbl>
    <w:p>
      <w:pPr>
        <w:spacing w:after="0" w:line="3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Proposal 3 - Ratification of the appointment of Wolf &amp; Company, P.C. as Star’s independent registered public accounting firm to audit Star’s financial statements for the fiscal year ending December 31, 2026</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gridSpan w:val="2"/>
          </w:tcPr>
          <w:p>
            <w:pPr>
              <w:ind w:left="1040"/>
              <w:spacing w:after="0"/>
              <w:rPr>
                <w:sz w:val="20"/>
                <w:szCs w:val="20"/>
                <w:color w:val="auto"/>
              </w:rPr>
            </w:pPr>
            <w:r>
              <w:rPr>
                <w:rFonts w:ascii="Times New Roman" w:cs="Times New Roman" w:eastAsia="Times New Roman" w:hAnsi="Times New Roman"/>
                <w:sz w:val="16"/>
                <w:szCs w:val="16"/>
                <w:b w:val="1"/>
                <w:bCs w:val="1"/>
                <w:color w:val="auto"/>
              </w:rPr>
              <w:t>Votes 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Votes 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Abstentions</w:t>
            </w: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Broker Non-Votes</w:t>
            </w:r>
          </w:p>
        </w:tc>
      </w:tr>
      <w:tr>
        <w:trPr>
          <w:trHeight w:val="212"/>
        </w:trPr>
        <w:tc>
          <w:tcPr>
            <w:tcW w:w="274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3,173,908</w:t>
            </w:r>
          </w:p>
        </w:tc>
        <w:tc>
          <w:tcPr>
            <w:tcW w:w="8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rPr>
              <w:t>2,415</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 Exhibits</w:t>
      </w:r>
    </w:p>
    <w:p>
      <w:pPr>
        <w:spacing w:after="0" w:line="2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exhibit is included with this Current Report on Form 8-K:</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INDEX</w:t>
      </w:r>
    </w:p>
    <w:p>
      <w:pPr>
        <w:spacing w:after="0" w:line="50"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240"/>
          </w:cols>
          <w:pgMar w:left="320" w:top="9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8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STAR EQUITY HOLDINGS, INC.</w:t>
      </w:r>
    </w:p>
    <w:p>
      <w:pPr>
        <w:ind w:left="4720"/>
        <w:spacing w:after="0"/>
        <w:rPr>
          <w:sz w:val="20"/>
          <w:szCs w:val="20"/>
          <w:color w:val="auto"/>
        </w:rPr>
      </w:pPr>
      <w:r>
        <w:rPr>
          <w:rFonts w:ascii="Times New Roman" w:cs="Times New Roman" w:eastAsia="Times New Roman" w:hAnsi="Times New Roman"/>
          <w:sz w:val="18"/>
          <w:szCs w:val="18"/>
          <w:color w:val="auto"/>
        </w:rPr>
        <w:t>(Registrant)</w:t>
      </w:r>
    </w:p>
    <w:p>
      <w:pPr>
        <w:spacing w:after="0" w:line="246" w:lineRule="exact"/>
        <w:rPr>
          <w:sz w:val="20"/>
          <w:szCs w:val="20"/>
          <w:color w:val="auto"/>
        </w:rPr>
      </w:pPr>
    </w:p>
    <w:tbl>
      <w:tblPr>
        <w:tblLayout w:type="fixed"/>
        <w:tblInd w:w="468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K. DIAMOND</w:t>
            </w:r>
          </w:p>
        </w:tc>
      </w:tr>
      <w:tr>
        <w:trPr>
          <w:trHeight w:val="218"/>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Matthew K. Diamond</w:t>
            </w:r>
          </w:p>
        </w:tc>
      </w:tr>
      <w:tr>
        <w:trPr>
          <w:trHeight w:val="234"/>
        </w:trPr>
        <w:tc>
          <w:tcPr>
            <w:tcW w:w="98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459"/>
        </w:trPr>
        <w:tc>
          <w:tcPr>
            <w:tcW w:w="98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Dated:   May 27,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11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o"/>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2026-05-27T15:29:21Z</dcterms:created>
  <dcterms:modified xsi:type="dcterms:W3CDTF">2026-05-27T15:29:21Z</dcterms:modified>
</cp:coreProperties>
</file>