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Star Equity Holdings,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280" w:type="dxa"/>
            <w:vAlign w:val="bottom"/>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001-38704</w:t>
            </w:r>
          </w:p>
        </w:tc>
        <w:tc>
          <w:tcPr>
            <w:tcW w:w="312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59-3547281</w:t>
            </w:r>
          </w:p>
        </w:tc>
      </w:tr>
      <w:tr>
        <w:trPr>
          <w:trHeight w:val="123"/>
        </w:trPr>
        <w:tc>
          <w:tcPr>
            <w:tcW w:w="3280" w:type="dxa"/>
            <w:vAlign w:val="bottom"/>
          </w:tcPr>
          <w:p>
            <w:pPr>
              <w:jc w:val="center"/>
              <w:ind w:left="500"/>
              <w:spacing w:after="0" w:line="123" w:lineRule="exact"/>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90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3120" w:type="dxa"/>
            <w:vAlign w:val="bottom"/>
          </w:tcPr>
          <w:p>
            <w:pPr>
              <w:jc w:val="center"/>
              <w:ind w:right="440"/>
              <w:spacing w:after="0" w:line="123" w:lineRule="exact"/>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3280" w:type="dxa"/>
            <w:vAlign w:val="bottom"/>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90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312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57"/>
        </w:trPr>
        <w:tc>
          <w:tcPr>
            <w:tcW w:w="3280" w:type="dxa"/>
            <w:vAlign w:val="bottom"/>
          </w:tcPr>
          <w:p>
            <w:pPr>
              <w:spacing w:after="0"/>
              <w:rPr>
                <w:sz w:val="24"/>
                <w:szCs w:val="24"/>
                <w:color w:val="auto"/>
              </w:rPr>
            </w:pPr>
          </w:p>
        </w:tc>
        <w:tc>
          <w:tcPr>
            <w:tcW w:w="49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53 Forest Avenue, Suite 101</w:t>
            </w:r>
          </w:p>
        </w:tc>
        <w:tc>
          <w:tcPr>
            <w:tcW w:w="3120" w:type="dxa"/>
            <w:vAlign w:val="bottom"/>
          </w:tcPr>
          <w:p>
            <w:pPr>
              <w:spacing w:after="0"/>
              <w:rPr>
                <w:sz w:val="24"/>
                <w:szCs w:val="24"/>
                <w:color w:val="auto"/>
              </w:rPr>
            </w:pPr>
          </w:p>
        </w:tc>
      </w:tr>
      <w:tr>
        <w:trPr>
          <w:trHeight w:val="144"/>
        </w:trPr>
        <w:tc>
          <w:tcPr>
            <w:tcW w:w="3280" w:type="dxa"/>
            <w:vAlign w:val="bottom"/>
          </w:tcPr>
          <w:p>
            <w:pPr>
              <w:spacing w:after="0"/>
              <w:rPr>
                <w:sz w:val="12"/>
                <w:szCs w:val="12"/>
                <w:color w:val="auto"/>
              </w:rPr>
            </w:pPr>
          </w:p>
        </w:tc>
        <w:tc>
          <w:tcPr>
            <w:tcW w:w="49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Old Greenwich, CT 06870</w:t>
            </w:r>
          </w:p>
        </w:tc>
        <w:tc>
          <w:tcPr>
            <w:tcW w:w="3120" w:type="dxa"/>
            <w:vAlign w:val="bottom"/>
          </w:tcPr>
          <w:p>
            <w:pPr>
              <w:spacing w:after="0"/>
              <w:rPr>
                <w:sz w:val="12"/>
                <w:szCs w:val="12"/>
                <w:color w:val="auto"/>
              </w:rPr>
            </w:pPr>
          </w:p>
        </w:tc>
      </w:tr>
      <w:tr>
        <w:trPr>
          <w:trHeight w:val="159"/>
        </w:trPr>
        <w:tc>
          <w:tcPr>
            <w:tcW w:w="3280" w:type="dxa"/>
            <w:vAlign w:val="bottom"/>
          </w:tcPr>
          <w:p>
            <w:pPr>
              <w:spacing w:after="0"/>
              <w:rPr>
                <w:sz w:val="13"/>
                <w:szCs w:val="13"/>
                <w:color w:val="auto"/>
              </w:rPr>
            </w:pPr>
          </w:p>
        </w:tc>
        <w:tc>
          <w:tcPr>
            <w:tcW w:w="49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3120" w:type="dxa"/>
            <w:vAlign w:val="bottom"/>
          </w:tcPr>
          <w:p>
            <w:pPr>
              <w:spacing w:after="0"/>
              <w:rPr>
                <w:sz w:val="13"/>
                <w:szCs w:val="13"/>
                <w:color w:val="auto"/>
              </w:rPr>
            </w:pPr>
          </w:p>
        </w:tc>
      </w:tr>
      <w:tr>
        <w:trPr>
          <w:trHeight w:val="243"/>
        </w:trPr>
        <w:tc>
          <w:tcPr>
            <w:tcW w:w="3280" w:type="dxa"/>
            <w:vAlign w:val="bottom"/>
          </w:tcPr>
          <w:p>
            <w:pPr>
              <w:spacing w:after="0"/>
              <w:rPr>
                <w:sz w:val="21"/>
                <w:szCs w:val="21"/>
                <w:color w:val="auto"/>
              </w:rPr>
            </w:pPr>
          </w:p>
        </w:tc>
        <w:tc>
          <w:tcPr>
            <w:tcW w:w="49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(203) 489-9500</w:t>
            </w:r>
          </w:p>
        </w:tc>
        <w:tc>
          <w:tcPr>
            <w:tcW w:w="3120" w:type="dxa"/>
            <w:vAlign w:val="bottom"/>
          </w:tcPr>
          <w:p>
            <w:pPr>
              <w:spacing w:after="0"/>
              <w:rPr>
                <w:sz w:val="21"/>
                <w:szCs w:val="21"/>
                <w:color w:val="auto"/>
              </w:rPr>
            </w:pPr>
          </w:p>
        </w:tc>
      </w:tr>
      <w:tr>
        <w:trPr>
          <w:trHeight w:val="246"/>
        </w:trPr>
        <w:tc>
          <w:tcPr>
            <w:tcW w:w="3280" w:type="dxa"/>
            <w:vAlign w:val="bottom"/>
          </w:tcPr>
          <w:p>
            <w:pPr>
              <w:spacing w:after="0"/>
              <w:rPr>
                <w:sz w:val="21"/>
                <w:szCs w:val="21"/>
                <w:color w:val="auto"/>
              </w:rPr>
            </w:pPr>
          </w:p>
        </w:tc>
        <w:tc>
          <w:tcPr>
            <w:tcW w:w="49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3120" w:type="dxa"/>
            <w:vAlign w:val="bottom"/>
          </w:tcPr>
          <w:p>
            <w:pPr>
              <w:spacing w:after="0"/>
              <w:rPr>
                <w:sz w:val="21"/>
                <w:szCs w:val="21"/>
                <w:color w:val="auto"/>
              </w:rPr>
            </w:pPr>
          </w:p>
        </w:tc>
      </w:tr>
      <w:tr>
        <w:trPr>
          <w:trHeight w:val="159"/>
        </w:trPr>
        <w:tc>
          <w:tcPr>
            <w:tcW w:w="3280" w:type="dxa"/>
            <w:vAlign w:val="bottom"/>
          </w:tcPr>
          <w:p>
            <w:pPr>
              <w:spacing w:after="0"/>
              <w:rPr>
                <w:sz w:val="13"/>
                <w:szCs w:val="13"/>
                <w:color w:val="auto"/>
              </w:rPr>
            </w:pPr>
          </w:p>
        </w:tc>
        <w:tc>
          <w:tcPr>
            <w:tcW w:w="49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3120" w:type="dxa"/>
            <w:vAlign w:val="bottom"/>
          </w:tcPr>
          <w:p>
            <w:pPr>
              <w:spacing w:after="0"/>
              <w:rPr>
                <w:sz w:val="13"/>
                <w:szCs w:val="13"/>
                <w:color w:val="auto"/>
              </w:rPr>
            </w:pPr>
          </w:p>
        </w:tc>
      </w:tr>
      <w:tr>
        <w:trPr>
          <w:trHeight w:val="72"/>
        </w:trPr>
        <w:tc>
          <w:tcPr>
            <w:tcW w:w="3280" w:type="dxa"/>
            <w:vAlign w:val="bottom"/>
            <w:tcBorders>
              <w:bottom w:val="single" w:sz="8" w:color="auto"/>
            </w:tcBorders>
          </w:tcPr>
          <w:p>
            <w:pPr>
              <w:spacing w:after="0"/>
              <w:rPr>
                <w:sz w:val="6"/>
                <w:szCs w:val="6"/>
                <w:color w:val="auto"/>
              </w:rPr>
            </w:pPr>
          </w:p>
        </w:tc>
        <w:tc>
          <w:tcPr>
            <w:tcW w:w="490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r>
    </w:tbl>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33" w:lineRule="exact"/>
        <w:rPr>
          <w:sz w:val="24"/>
          <w:szCs w:val="24"/>
          <w:color w:val="auto"/>
        </w:rPr>
      </w:pPr>
    </w:p>
    <w:p>
      <w:pPr>
        <w:ind w:left="460" w:hanging="444"/>
        <w:spacing w:after="0"/>
        <w:tabs>
          <w:tab w:leader="none" w:pos="46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sz w:val="24"/>
          <w:szCs w:val="24"/>
          <w:color w:val="auto"/>
        </w:rPr>
      </w:pPr>
    </w:p>
    <w:p>
      <w:pPr>
        <w:ind w:left="480" w:hanging="446"/>
        <w:spacing w:after="0"/>
        <w:tabs>
          <w:tab w:leader="none" w:pos="480"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Wingdings" w:cs="Wingdings" w:eastAsia="Wingdings" w:hAnsi="Wingdings"/>
          <w:sz w:val="12"/>
          <w:szCs w:val="12"/>
          <w:b w:val="1"/>
          <w:bCs w:val="1"/>
          <w:color w:val="auto"/>
        </w:rPr>
      </w:pPr>
    </w:p>
    <w:p>
      <w:pPr>
        <w:ind w:left="480" w:hanging="446"/>
        <w:spacing w:after="0"/>
        <w:tabs>
          <w:tab w:leader="none" w:pos="480"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Wingdings" w:cs="Wingdings" w:eastAsia="Wingdings" w:hAnsi="Wingdings"/>
          <w:sz w:val="12"/>
          <w:szCs w:val="12"/>
          <w:b w:val="1"/>
          <w:bCs w:val="1"/>
          <w:color w:val="auto"/>
        </w:rPr>
      </w:pPr>
    </w:p>
    <w:p>
      <w:pPr>
        <w:ind w:right="5500" w:firstLine="34"/>
        <w:spacing w:after="0" w:line="383" w:lineRule="auto"/>
        <w:tabs>
          <w:tab w:leader="none" w:pos="492"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400" w:type="dxa"/>
        <w:tblCellMar>
          <w:top w:w="0" w:type="dxa"/>
          <w:left w:w="0" w:type="dxa"/>
          <w:bottom w:w="0" w:type="dxa"/>
          <w:right w:w="0" w:type="dxa"/>
        </w:tblCellMar>
      </w:tblPr>
      <w:tr>
        <w:trPr>
          <w:trHeight w:val="128"/>
        </w:trPr>
        <w:tc>
          <w:tcPr>
            <w:tcW w:w="600" w:type="dxa"/>
            <w:vAlign w:val="bottom"/>
          </w:tcPr>
          <w:p>
            <w:pPr>
              <w:spacing w:after="0"/>
              <w:rPr>
                <w:sz w:val="11"/>
                <w:szCs w:val="11"/>
                <w:color w:val="auto"/>
              </w:rPr>
            </w:pPr>
          </w:p>
        </w:tc>
        <w:tc>
          <w:tcPr>
            <w:tcW w:w="3160" w:type="dxa"/>
            <w:vAlign w:val="bottom"/>
            <w:gridSpan w:val="2"/>
          </w:tcPr>
          <w:p>
            <w:pPr>
              <w:jc w:val="center"/>
              <w:ind w:right="2300"/>
              <w:spacing w:after="0" w:line="129" w:lineRule="exact"/>
              <w:rPr>
                <w:sz w:val="20"/>
                <w:szCs w:val="20"/>
                <w:color w:val="auto"/>
              </w:rPr>
            </w:pPr>
            <w:r>
              <w:rPr>
                <w:rFonts w:ascii="Times New Roman" w:cs="Times New Roman" w:eastAsia="Times New Roman" w:hAnsi="Times New Roman"/>
                <w:sz w:val="12"/>
                <w:szCs w:val="12"/>
                <w:color w:val="auto"/>
                <w:w w:val="98"/>
              </w:rPr>
              <w:t>Title of each class</w:t>
            </w:r>
          </w:p>
        </w:tc>
        <w:tc>
          <w:tcPr>
            <w:tcW w:w="2600" w:type="dxa"/>
            <w:vAlign w:val="bottom"/>
            <w:gridSpan w:val="2"/>
          </w:tcPr>
          <w:p>
            <w:pPr>
              <w:jc w:val="center"/>
              <w:ind w:right="1700"/>
              <w:spacing w:after="0" w:line="129" w:lineRule="exact"/>
              <w:rPr>
                <w:sz w:val="20"/>
                <w:szCs w:val="20"/>
                <w:color w:val="auto"/>
              </w:rPr>
            </w:pPr>
            <w:r>
              <w:rPr>
                <w:rFonts w:ascii="Times New Roman" w:cs="Times New Roman" w:eastAsia="Times New Roman" w:hAnsi="Times New Roman"/>
                <w:sz w:val="12"/>
                <w:szCs w:val="12"/>
                <w:color w:val="auto"/>
                <w:w w:val="98"/>
              </w:rPr>
              <w:t>Trading Symbol(s)</w:t>
            </w:r>
          </w:p>
        </w:tc>
        <w:tc>
          <w:tcPr>
            <w:tcW w:w="21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58"/>
        </w:trPr>
        <w:tc>
          <w:tcPr>
            <w:tcW w:w="3760" w:type="dxa"/>
            <w:vAlign w:val="bottom"/>
            <w:gridSpan w:val="3"/>
          </w:tcPr>
          <w:p>
            <w:pPr>
              <w:jc w:val="center"/>
              <w:ind w:right="1700"/>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600" w:type="dxa"/>
            <w:vAlign w:val="bottom"/>
            <w:gridSpan w:val="2"/>
          </w:tcPr>
          <w:p>
            <w:pPr>
              <w:jc w:val="center"/>
              <w:ind w:right="1700"/>
              <w:spacing w:after="0"/>
              <w:rPr>
                <w:sz w:val="20"/>
                <w:szCs w:val="20"/>
                <w:color w:val="auto"/>
              </w:rPr>
            </w:pPr>
            <w:r>
              <w:rPr>
                <w:rFonts w:ascii="Times New Roman" w:cs="Times New Roman" w:eastAsia="Times New Roman" w:hAnsi="Times New Roman"/>
                <w:sz w:val="12"/>
                <w:szCs w:val="12"/>
                <w:color w:val="auto"/>
                <w:w w:val="99"/>
              </w:rPr>
              <w:t>STRR</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3"/>
        </w:trPr>
        <w:tc>
          <w:tcPr>
            <w:tcW w:w="3760" w:type="dxa"/>
            <w:vAlign w:val="bottom"/>
            <w:gridSpan w:val="3"/>
          </w:tcPr>
          <w:p>
            <w:pPr>
              <w:jc w:val="center"/>
              <w:ind w:right="1700"/>
              <w:spacing w:after="0"/>
              <w:rPr>
                <w:sz w:val="20"/>
                <w:szCs w:val="20"/>
                <w:color w:val="auto"/>
              </w:rPr>
            </w:pPr>
            <w:r>
              <w:rPr>
                <w:rFonts w:ascii="Times New Roman" w:cs="Times New Roman" w:eastAsia="Times New Roman" w:hAnsi="Times New Roman"/>
                <w:sz w:val="12"/>
                <w:szCs w:val="12"/>
                <w:color w:val="auto"/>
              </w:rPr>
              <w:t>Series A Preferred Stock, $0.001 par value</w:t>
            </w:r>
          </w:p>
        </w:tc>
        <w:tc>
          <w:tcPr>
            <w:tcW w:w="2600" w:type="dxa"/>
            <w:vAlign w:val="bottom"/>
            <w:gridSpan w:val="2"/>
          </w:tcPr>
          <w:p>
            <w:pPr>
              <w:jc w:val="center"/>
              <w:ind w:right="1700"/>
              <w:spacing w:after="0"/>
              <w:rPr>
                <w:sz w:val="20"/>
                <w:szCs w:val="20"/>
                <w:color w:val="auto"/>
              </w:rPr>
            </w:pPr>
            <w:r>
              <w:rPr>
                <w:rFonts w:ascii="Times New Roman" w:cs="Times New Roman" w:eastAsia="Times New Roman" w:hAnsi="Times New Roman"/>
                <w:sz w:val="12"/>
                <w:szCs w:val="12"/>
                <w:color w:val="auto"/>
              </w:rPr>
              <w:t>STRRP</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3760" w:type="dxa"/>
            <w:vAlign w:val="bottom"/>
            <w:gridSpan w:val="3"/>
          </w:tcPr>
          <w:p>
            <w:pPr>
              <w:jc w:val="center"/>
              <w:ind w:right="1700"/>
              <w:spacing w:after="0"/>
              <w:rPr>
                <w:sz w:val="20"/>
                <w:szCs w:val="20"/>
                <w:color w:val="auto"/>
              </w:rPr>
            </w:pPr>
            <w:r>
              <w:rPr>
                <w:rFonts w:ascii="Times New Roman" w:cs="Times New Roman" w:eastAsia="Times New Roman" w:hAnsi="Times New Roman"/>
                <w:sz w:val="12"/>
                <w:szCs w:val="12"/>
                <w:color w:val="auto"/>
                <w:w w:val="98"/>
              </w:rPr>
              <w:t>Preferred Share Purchase Rights</w:t>
            </w: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20" w:type="dxa"/>
            <w:vAlign w:val="bottom"/>
          </w:tcPr>
          <w:p>
            <w:pPr>
              <w:spacing w:after="0"/>
              <w:rPr>
                <w:sz w:val="13"/>
                <w:szCs w:val="13"/>
                <w:color w:val="auto"/>
              </w:rPr>
            </w:pPr>
          </w:p>
        </w:tc>
      </w:tr>
    </w:tbl>
    <w:p>
      <w:pPr>
        <w:spacing w:after="0" w:line="5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ind w:left="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450850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93"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23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Pursuant to Regulation FD, Star Equity Holdings, Inc. (the “Company”) hereby furnishes the investor presentation (the "Investor Presentation") relating to the Company’s business and operations as of March 31, 2026, which the Company made available on June 1, 2026, within the Investor Relations section of the Company’s website: www.starequity.com.</w:t>
      </w:r>
    </w:p>
    <w:p>
      <w:pPr>
        <w:spacing w:after="0" w:line="12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information contained in the Investor Presentation is summary information that should be considered in the context of the Company’s filings with the Securities and Exchange Commission and other public announcements the Company may make by press release or otherwise from time to time. The Investor Presentation speaks as of the date of this report, and in accordance with the dates provided therein. While the Company may elect to update the Investor Presentation in the future to reflect events and circumstances occurring or existing after the date of this report, the Company specifically disclaims any obligation to do so.</w:t>
      </w:r>
    </w:p>
    <w:p>
      <w:pPr>
        <w:spacing w:after="0" w:line="13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copy of the Investor Presentation is furnished herewith as Exhibits 99.1. The information furnished by the Company pursuant to this Item 7.01, including Exhibits 99.1,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w:t>
      </w:r>
    </w:p>
    <w:p>
      <w:pPr>
        <w:spacing w:after="0" w:line="17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tab/>
        <w:t>Financial Statements and Exhibits.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 Exhibits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INDEX</w:t>
      </w:r>
    </w:p>
    <w:p>
      <w:pPr>
        <w:spacing w:after="0" w:line="3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2"/>
          <w:szCs w:val="12"/>
          <w:u w:val="single" w:color="auto"/>
          <w:color w:val="0000FF"/>
        </w:rPr>
        <w:t>Investor Presentation, dated June 1, 2026</w:t>
      </w:r>
    </w:p>
    <w:p>
      <w:pPr>
        <w:spacing w:after="0" w:line="8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2" w:name="page3"/>
    <w:bookmarkEnd w:id="2"/>
    <w:p>
      <w:pPr>
        <w:jc w:val="center"/>
        <w:ind w:right="440"/>
        <w:spacing w:after="0"/>
        <w:rPr>
          <w:sz w:val="20"/>
          <w:szCs w:val="20"/>
          <w:color w:val="auto"/>
        </w:rPr>
      </w:pPr>
      <w:r>
        <w:rPr>
          <w:rFonts w:ascii="Times New Roman" w:cs="Times New Roman" w:eastAsia="Times New Roman" w:hAnsi="Times New Roman"/>
          <w:sz w:val="12"/>
          <w:szCs w:val="12"/>
          <w:color w:val="auto"/>
        </w:rPr>
        <w:t>SIGNATURES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color w:val="auto"/>
        </w:rPr>
        <w:t>STAR EQUITY HOLDINGS, INC.</w:t>
      </w:r>
    </w:p>
    <w:tbl>
      <w:tblPr>
        <w:tblLayout w:type="fixed"/>
        <w:tblInd w:w="4260" w:type="dxa"/>
        <w:tblCellMar>
          <w:top w:w="0" w:type="dxa"/>
          <w:left w:w="0" w:type="dxa"/>
          <w:bottom w:w="0" w:type="dxa"/>
          <w:right w:w="0" w:type="dxa"/>
        </w:tblCellMar>
      </w:tblPr>
      <w:tr>
        <w:trPr>
          <w:trHeight w:val="155"/>
        </w:trPr>
        <w:tc>
          <w:tcPr>
            <w:tcW w:w="7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(Registrant)</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00" w:type="dxa"/>
            <w:vAlign w:val="bottom"/>
          </w:tcPr>
          <w:p>
            <w:pPr>
              <w:spacing w:after="0"/>
              <w:rPr>
                <w:sz w:val="13"/>
                <w:szCs w:val="13"/>
                <w:color w:val="auto"/>
              </w:rPr>
            </w:pPr>
          </w:p>
        </w:tc>
      </w:tr>
      <w:tr>
        <w:trPr>
          <w:trHeight w:val="303"/>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2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MATTHEW K. DIAMOND</w:t>
            </w:r>
          </w:p>
        </w:tc>
      </w:tr>
      <w:tr>
        <w:trPr>
          <w:trHeight w:val="140"/>
        </w:trPr>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Matthew K. Diamond</w:t>
            </w:r>
          </w:p>
        </w:tc>
      </w:tr>
      <w:tr>
        <w:trPr>
          <w:trHeight w:val="155"/>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Accounting Officer</w:t>
            </w:r>
          </w:p>
        </w:tc>
      </w:tr>
      <w:tr>
        <w:trPr>
          <w:trHeight w:val="306"/>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51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June 1, 2026</w:t>
            </w:r>
          </w:p>
        </w:tc>
      </w:tr>
      <w:tr>
        <w:trPr>
          <w:trHeight w:val="729"/>
        </w:trPr>
        <w:tc>
          <w:tcPr>
            <w:tcW w:w="780" w:type="dxa"/>
            <w:vAlign w:val="bottom"/>
          </w:tcPr>
          <w:p>
            <w:pPr>
              <w:spacing w:after="0"/>
              <w:rPr>
                <w:sz w:val="24"/>
                <w:szCs w:val="24"/>
                <w:color w:val="auto"/>
              </w:rPr>
            </w:pP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2</w:t>
            </w:r>
          </w:p>
        </w:tc>
        <w:tc>
          <w:tcPr>
            <w:tcW w:w="5100" w:type="dxa"/>
            <w:vAlign w:val="bottom"/>
          </w:tcPr>
          <w:p>
            <w:pPr>
              <w:spacing w:after="0"/>
              <w:rPr>
                <w:sz w:val="24"/>
                <w:szCs w:val="24"/>
                <w:color w:val="auto"/>
              </w:rPr>
            </w:pPr>
          </w:p>
        </w:tc>
      </w:tr>
    </w:tbl>
    <w:p>
      <w:pPr>
        <w:sectPr>
          <w:pgSz w:w="11900" w:h="16838" w:orient="portrait"/>
          <w:cols w:equalWidth="0" w:num="1">
            <w:col w:w="10880"/>
          </w:cols>
          <w:pgMar w:left="720" w:top="804"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271780</wp:posOffset>
            </wp:positionV>
            <wp:extent cx="7127240" cy="10332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332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336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7336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3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7433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2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7432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3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7433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3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7433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3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7433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3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7433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3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7433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9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743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7439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743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2026-06-01T16:54:51Z</dcterms:created>
  <dcterms:modified xsi:type="dcterms:W3CDTF">2026-06-01T16:54:51Z</dcterms:modified>
</cp:coreProperties>
</file>