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Eberwein Jeffrey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STAR EQUITY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 FOREST AVENUE, SUITE 101</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OLD</w:t>
      </w:r>
      <w:r>
        <w:rPr>
          <w:rFonts w:ascii="Times New Roman" w:cs="Times New Roman" w:eastAsia="Times New Roman" w:hAnsi="Times New Roman"/>
          <w:sz w:val="17"/>
          <w:szCs w:val="17"/>
          <w:color w:val="0000FF"/>
        </w:rPr>
        <w:t xml:space="preserve"> CT 06870 GREENWICH</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Star Equity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STRR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6"/>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06/10/2026</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1,884</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10.89</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1,105,714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rounded to the nearest cent. These shares were purchased in multiple transactions at prices ranging from $10.88 to $11.01 on June 10, 2026. The Reporting Person undertakes to provide the Issuer and any security holder of the Issuer, or the staff of the Securities and Exchange Commission, upon request, full information regarding the number of shares purchased at each separate price such shares were purchased.</w:t>
      </w:r>
    </w:p>
    <w:p>
      <w:pPr>
        <w:spacing w:after="0" w:line="20" w:lineRule="exact"/>
        <w:rPr>
          <w:rFonts w:ascii="Times New Roman" w:cs="Times New Roman" w:eastAsia="Times New Roman" w:hAnsi="Times New Roman"/>
          <w:sz w:val="13"/>
          <w:szCs w:val="13"/>
          <w:color w:val="008000"/>
        </w:rPr>
      </w:pPr>
    </w:p>
    <w:p>
      <w:pPr>
        <w:ind w:left="40" w:right="4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21,125 shares of restricted stock credited to the Reporting Person's account under the Issuer's 2009 Incentive Stock and Awards Plan, as amended and restated; (ii) 6,750 RSUs; and (iii) 1,077,839 shares of common stock. Excludes 2,000 shares indirectly owned in contributory 401(k) and IRA accounts. Each share of restricted stock and each RSU represents the right to receive, at settlement, one share of common stock.</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Jeffrey E. Eberwein</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8312" TargetMode="External"/><Relationship Id="rId14" Type="http://schemas.openxmlformats.org/officeDocument/2006/relationships/hyperlink" Target="http://www.sec.gov/cgi-bin/browse-edgar?action=getcompany&amp;CIK=00012107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2026-06-12T19:18:04Z</dcterms:created>
  <dcterms:modified xsi:type="dcterms:W3CDTF">2026-06-12T19:18:04Z</dcterms:modified>
</cp:coreProperties>
</file>