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8" w:after="22"/>
        <w:jc w:val="center"/>
        <w:rPr>
          <w:rFonts w:ascii="Times New Roman;serif" w:hAnsi="Times New Roman;serif"/>
          <w:b/>
          <w:color w:val="000000"/>
          <w:sz w:val="28"/>
        </w:rPr>
      </w:pPr>
      <w:r>
        <w:rPr>
          <w:rFonts w:ascii="Times New Roman;serif" w:hAnsi="Times New Roman;serif"/>
          <w:b/>
          <w:color w:val="000000"/>
          <w:sz w:val="28"/>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88"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98"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98"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August 21, 2026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88" w:after="283"/>
        <w:jc w:val="center"/>
        <w:rPr>
          <w:rFonts w:ascii="Times New Roman;serif" w:hAnsi="Times New Roman;serif"/>
          <w:b/>
          <w:color w:val="000000"/>
          <w:sz w:val="34"/>
        </w:rPr>
      </w:pPr>
      <w:r>
        <w:rPr>
          <w:rFonts w:ascii="Times New Roman;serif" w:hAnsi="Times New Roman;serif"/>
          <w:b/>
          <w:color w:val="000000"/>
          <w:sz w:val="34"/>
        </w:rPr>
        <w:t>Star Equity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916" w:type="dxa"/>
        <w:jc w:val="center"/>
        <w:tblInd w:w="0" w:type="dxa"/>
        <w:tblLayout w:type="fixed"/>
        <w:tblCellMar>
          <w:top w:w="28" w:type="dxa"/>
          <w:left w:w="28" w:type="dxa"/>
          <w:bottom w:w="28" w:type="dxa"/>
          <w:right w:w="28" w:type="dxa"/>
        </w:tblCellMar>
      </w:tblPr>
      <w:tblGrid>
        <w:gridCol w:w="851"/>
        <w:gridCol w:w="748"/>
        <w:gridCol w:w="755"/>
        <w:gridCol w:w="109"/>
        <w:gridCol w:w="109"/>
        <w:gridCol w:w="109"/>
        <w:gridCol w:w="408"/>
        <w:gridCol w:w="408"/>
        <w:gridCol w:w="413"/>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59-3547281</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53 Forest Avenue, Suite 101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Old Greenwich, CT 06870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(203) 489-9500</w:t>
      </w:r>
    </w:p>
    <w:p>
      <w:pPr>
        <w:pStyle w:val="TextBody"/>
        <w:bidi w:val="0"/>
        <w:spacing w:lineRule="auto" w:line="288" w:before="198"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88"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88" w:before="0" w:after="0"/>
        <w:jc w:val="left"/>
        <w:rPr>
          <w:color w:val="000000"/>
        </w:rPr>
      </w:pPr>
      <w:r>
        <w:rPr>
          <w:color w:val="000000"/>
        </w:rPr>
        <w:t> </w:t>
      </w:r>
    </w:p>
    <w:tbl>
      <w:tblPr>
        <w:tblW w:w="9402" w:type="dxa"/>
        <w:jc w:val="left"/>
        <w:tblInd w:w="0" w:type="dxa"/>
        <w:tblLayout w:type="fixed"/>
        <w:tblCellMar>
          <w:top w:w="28" w:type="dxa"/>
          <w:left w:w="28" w:type="dxa"/>
          <w:bottom w:w="28" w:type="dxa"/>
          <w:right w:w="28" w:type="dxa"/>
        </w:tblCellMar>
      </w:tblPr>
      <w:tblGrid>
        <w:gridCol w:w="124"/>
        <w:gridCol w:w="109"/>
        <w:gridCol w:w="109"/>
        <w:gridCol w:w="2654"/>
        <w:gridCol w:w="2654"/>
        <w:gridCol w:w="37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33" w:type="dxa"/>
        <w:jc w:val="center"/>
        <w:tblInd w:w="0" w:type="dxa"/>
        <w:tblLayout w:type="fixed"/>
        <w:tblCellMar>
          <w:top w:w="28" w:type="dxa"/>
          <w:left w:w="28" w:type="dxa"/>
          <w:bottom w:w="28" w:type="dxa"/>
          <w:right w:w="28" w:type="dxa"/>
        </w:tblCellMar>
      </w:tblPr>
      <w:tblGrid>
        <w:gridCol w:w="1271"/>
        <w:gridCol w:w="1113"/>
        <w:gridCol w:w="1125"/>
        <w:gridCol w:w="539"/>
        <w:gridCol w:w="539"/>
        <w:gridCol w:w="541"/>
        <w:gridCol w:w="1085"/>
        <w:gridCol w:w="1085"/>
        <w:gridCol w:w="1535"/>
      </w:tblGrid>
      <w:tr>
        <w:trPr/>
        <w:tc>
          <w:tcPr>
            <w:tcW w:w="127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STRR</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Series A Preferred Stock, $0.001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STRRP</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Share Purchase Rights</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2264" w:type="dxa"/>
        <w:jc w:val="left"/>
        <w:tblInd w:w="0" w:type="dxa"/>
        <w:tblLayout w:type="fixed"/>
        <w:tblCellMar>
          <w:top w:w="28" w:type="dxa"/>
          <w:left w:w="28" w:type="dxa"/>
          <w:bottom w:w="28" w:type="dxa"/>
          <w:right w:w="28" w:type="dxa"/>
        </w:tblCellMar>
      </w:tblPr>
      <w:tblGrid>
        <w:gridCol w:w="348"/>
        <w:gridCol w:w="305"/>
        <w:gridCol w:w="307"/>
        <w:gridCol w:w="381"/>
        <w:gridCol w:w="381"/>
        <w:gridCol w:w="542"/>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before="0" w:after="0"/>
        <w:ind w:left="0" w:right="0" w:firstLine="72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21, 2026, Star Equity Holdings, Inc. (“Company” or “Star”) announced that its Board of Directors declared a cash dividend to holders of the Company’s 10% Series A Cumulative Perpetual Preferred Stock (“Star Preferred Stock”) of $0.25 per share. The record date for this dividend is September 1, 2026, and the payment date is September 10, 2026.</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copy of the press release is attached to this Current Report on Form 8-K as Exhibit 99.1 and is incorporated herein by reference.</w:t>
      </w:r>
    </w:p>
    <w:tbl>
      <w:tblPr>
        <w:tblW w:w="4080" w:type="dxa"/>
        <w:jc w:val="left"/>
        <w:tblInd w:w="0" w:type="dxa"/>
        <w:tblLayout w:type="fixed"/>
        <w:tblCellMar>
          <w:top w:w="28" w:type="dxa"/>
          <w:left w:w="28" w:type="dxa"/>
          <w:bottom w:w="28" w:type="dxa"/>
          <w:right w:w="28" w:type="dxa"/>
        </w:tblCellMar>
      </w:tblPr>
      <w:tblGrid>
        <w:gridCol w:w="348"/>
        <w:gridCol w:w="305"/>
        <w:gridCol w:w="307"/>
        <w:gridCol w:w="913"/>
        <w:gridCol w:w="913"/>
        <w:gridCol w:w="1294"/>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 xml:space="preserve">Financial Statements and Exhibits. </w:t>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INDEX</w:t>
      </w:r>
    </w:p>
    <w:tbl>
      <w:tblPr>
        <w:tblW w:w="7080" w:type="dxa"/>
        <w:jc w:val="left"/>
        <w:tblInd w:w="0" w:type="dxa"/>
        <w:tblLayout w:type="fixed"/>
        <w:tblCellMar>
          <w:top w:w="28" w:type="dxa"/>
          <w:left w:w="28" w:type="dxa"/>
          <w:bottom w:w="28" w:type="dxa"/>
          <w:right w:w="28" w:type="dxa"/>
        </w:tblCellMar>
      </w:tblPr>
      <w:tblGrid>
        <w:gridCol w:w="174"/>
        <w:gridCol w:w="153"/>
        <w:gridCol w:w="154"/>
        <w:gridCol w:w="1932"/>
        <w:gridCol w:w="1932"/>
        <w:gridCol w:w="2735"/>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rrpressreleaserepreferre.htm">
              <w:r>
                <w:rPr>
                  <w:rStyle w:val="InternetLink"/>
                  <w:rFonts w:ascii="Times New Roman;serif" w:hAnsi="Times New Roman;serif"/>
                  <w:b w:val="false"/>
                  <w:color w:val="0000FF"/>
                  <w:sz w:val="20"/>
                  <w:u w:val="single"/>
                </w:rPr>
                <w:t>Press Release of Star Equity Holdings, Inc. dated August 21, 2026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right"/>
        <w:rPr>
          <w:color w:val="000000"/>
        </w:rPr>
      </w:pPr>
      <w:r>
        <w:rPr>
          <w:color w:val="000000"/>
        </w:rPr>
        <w:t> </w:t>
      </w:r>
    </w:p>
    <w:tbl>
      <w:tblPr>
        <w:tblW w:w="3632" w:type="dxa"/>
        <w:jc w:val="right"/>
        <w:tblInd w:w="0" w:type="dxa"/>
        <w:tblLayout w:type="fixed"/>
        <w:tblCellMar>
          <w:top w:w="28" w:type="dxa"/>
          <w:left w:w="28" w:type="dxa"/>
          <w:bottom w:w="28" w:type="dxa"/>
          <w:right w:w="28" w:type="dxa"/>
        </w:tblCellMar>
      </w:tblPr>
      <w:tblGrid>
        <w:gridCol w:w="341"/>
        <w:gridCol w:w="300"/>
        <w:gridCol w:w="300"/>
        <w:gridCol w:w="397"/>
        <w:gridCol w:w="397"/>
        <w:gridCol w:w="397"/>
        <w:gridCol w:w="434"/>
        <w:gridCol w:w="434"/>
        <w:gridCol w:w="632"/>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36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 EQUITY HOLDINGS, INC.</w:t>
              <w:br/>
              <w:t> (Registrant)</w:t>
            </w:r>
          </w:p>
        </w:tc>
      </w:tr>
      <w:tr>
        <w:trPr/>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9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K. DIAMOND</w:t>
            </w:r>
          </w:p>
        </w:tc>
      </w:tr>
      <w:tr>
        <w:trPr/>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K. Diamond</w:t>
            </w:r>
          </w:p>
        </w:tc>
      </w:tr>
      <w:tr>
        <w:trPr/>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21,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2"/>
        <w:jc w:val="right"/>
        <w:rPr>
          <w:rFonts w:ascii="sans-serif" w:hAnsi="sans-serif"/>
          <w:b w:val="false"/>
          <w:color w:val="000000"/>
          <w:sz w:val="20"/>
        </w:rPr>
      </w:pPr>
      <w:r>
        <w:rPr>
          <w:rFonts w:ascii="sans-serif" w:hAnsi="sans-serif"/>
          <w:b w:val="false"/>
          <w:color w:val="000000"/>
          <w:sz w:val="20"/>
        </w:rPr>
        <w:t>Exhibit 99.1</w:t>
      </w:r>
    </w:p>
    <w:p>
      <w:pPr>
        <w:pStyle w:val="TextBody"/>
        <w:bidi w:val="0"/>
        <w:spacing w:before="0" w:after="2"/>
        <w:jc w:val="left"/>
        <w:rPr/>
      </w:pPr>
      <w:r>
        <w:rPr/>
        <w:drawing>
          <wp:inline distT="0" distB="0" distL="0" distR="0">
            <wp:extent cx="1428750" cy="5143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28750" cy="514350"/>
                    </a:xfrm>
                    <a:prstGeom prst="rect">
                      <a:avLst/>
                    </a:prstGeom>
                  </pic:spPr>
                </pic:pic>
              </a:graphicData>
            </a:graphic>
          </wp:inline>
        </w:drawing>
      </w:r>
    </w:p>
    <w:tbl>
      <w:tblPr>
        <w:tblW w:w="1439" w:type="dxa"/>
        <w:jc w:val="left"/>
        <w:tblInd w:w="0" w:type="dxa"/>
        <w:tblLayout w:type="fixed"/>
        <w:tblCellMar>
          <w:top w:w="28" w:type="dxa"/>
          <w:left w:w="28" w:type="dxa"/>
          <w:bottom w:w="28" w:type="dxa"/>
          <w:right w:w="28" w:type="dxa"/>
        </w:tblCellMar>
      </w:tblPr>
      <w:tblGrid>
        <w:gridCol w:w="460"/>
        <w:gridCol w:w="404"/>
        <w:gridCol w:w="575"/>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 21, 2026</w:t>
            </w:r>
          </w:p>
        </w:tc>
      </w:tr>
    </w:tbl>
    <w:p>
      <w:pPr>
        <w:pStyle w:val="TextBody"/>
        <w:bidi w:val="0"/>
        <w:spacing w:lineRule="auto" w:line="288" w:before="120" w:after="120"/>
        <w:jc w:val="both"/>
        <w:rPr>
          <w:rFonts w:ascii="sans-serif" w:hAnsi="sans-serif"/>
          <w:b/>
          <w:color w:val="000000"/>
          <w:sz w:val="24"/>
        </w:rPr>
      </w:pPr>
      <w:r>
        <w:rPr>
          <w:rFonts w:ascii="sans-serif" w:hAnsi="sans-serif"/>
          <w:b/>
          <w:color w:val="000000"/>
          <w:sz w:val="24"/>
        </w:rPr>
        <w:t>Star Equity Holdings, Inc. Declares Cash Dividend of $0.25 Per Share of 10% Series A Cumulative Perpetual Preferred Stock</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OLD GREENWICH, Conn., Aug. 21, 2026 (GLOBE NEWSWIRE) -- Star Equity Holdings, Inc. (Nasdaq: STRR and STRRP) ("Star" or the "Company"), a diversified holding company, announced today announced today that its Board of Directors (the “Board”) declared a cash dividend to holders of the Company’s 10% Series A Cumulative Perpetual Preferred Stock of $0.25 per share. The record date for this dividend is September 1, 2026, and the payment date is September 10, 2026.</w:t>
      </w:r>
    </w:p>
    <w:p>
      <w:pPr>
        <w:pStyle w:val="TextBody"/>
        <w:bidi w:val="0"/>
        <w:spacing w:before="0" w:after="0"/>
        <w:jc w:val="both"/>
        <w:rPr/>
      </w:pPr>
      <w:r>
        <w:rPr/>
      </w:r>
    </w:p>
    <w:p>
      <w:pPr>
        <w:pStyle w:val="TextBody"/>
        <w:bidi w:val="0"/>
        <w:spacing w:lineRule="auto" w:line="288" w:before="0" w:after="0"/>
        <w:jc w:val="both"/>
        <w:rPr>
          <w:rFonts w:ascii="sans-serif" w:hAnsi="sans-serif"/>
          <w:b/>
          <w:i/>
          <w:color w:val="000000"/>
          <w:sz w:val="20"/>
        </w:rPr>
      </w:pPr>
      <w:r>
        <w:rPr>
          <w:rFonts w:ascii="sans-serif" w:hAnsi="sans-serif"/>
          <w:b/>
          <w:i/>
          <w:color w:val="000000"/>
          <w:sz w:val="20"/>
        </w:rPr>
        <w:t>About Star Equity Holdings, Inc.</w:t>
      </w:r>
    </w:p>
    <w:p>
      <w:pPr>
        <w:pStyle w:val="TextBody"/>
        <w:bidi w:val="0"/>
        <w:spacing w:lineRule="auto" w:line="240" w:before="0" w:after="0"/>
        <w:jc w:val="both"/>
        <w:rPr>
          <w:rFonts w:ascii="sans-serif" w:hAnsi="sans-serif"/>
          <w:b w:val="false"/>
          <w:color w:val="000000"/>
          <w:sz w:val="20"/>
        </w:rPr>
      </w:pPr>
      <w:r>
        <w:rPr>
          <w:rFonts w:ascii="sans-serif" w:hAnsi="sans-serif"/>
          <w:b w:val="false"/>
          <w:color w:val="000000"/>
          <w:sz w:val="20"/>
        </w:rPr>
        <w:t>Star Equity Holdings, Inc. is a diversified holding company that seeks to build long-term shareholder value by acquiring, managing, and growing businesses with strong fundamentals and market opportunities. Its current structure comprises four divisions: Building Solutions, Business Services, Energy Services, and Investments. For more information visit www.starequity.com. On August 22, 2025, the Company completed its previously announced acquisition of Star Operating Companies, Inc. (“Star Operating”, formerly known as Star Equity Holdings, Inc.), pursuant to the Agreement and Plan of Merger, dated as of May 21, 2025 (the “Merger Agreement”), by and among the Company, Star Operating and HSON Merger Sub, Inc., a wholly owned subsidiary of the Company (“Merger Sub”). Upon the terms and subject to the conditions of the Merger Agreement, on August 22, 2025, at the effective time of the merger pursuant to the Merger Agreement (the “Merger”), Merger Sub merged with and into Star Operating, with Star Operating continuing as the surviving corporation of the Merger as a wholly owned subsidiary of the Company. Effective September 5, 2025, the Company changed (i) its name to Star Equity Holdings, Inc. and (ii) its trading symbol on Nasdaq to STRR and STRRP.</w:t>
      </w:r>
    </w:p>
    <w:p>
      <w:pPr>
        <w:pStyle w:val="TextBody"/>
        <w:bidi w:val="0"/>
        <w:spacing w:before="0" w:after="0"/>
        <w:jc w:val="both"/>
        <w:rPr/>
      </w:pPr>
      <w:r>
        <w:rPr/>
      </w:r>
    </w:p>
    <w:p>
      <w:pPr>
        <w:pStyle w:val="TextBody"/>
        <w:bidi w:val="0"/>
        <w:spacing w:lineRule="auto" w:line="288" w:before="0" w:after="0"/>
        <w:jc w:val="both"/>
        <w:rPr/>
      </w:pPr>
      <w:r>
        <w:rPr>
          <w:rFonts w:ascii="sans-serif" w:hAnsi="sans-serif"/>
          <w:b/>
          <w:color w:val="000000"/>
          <w:sz w:val="20"/>
        </w:rPr>
        <w:t>Building Solutions</w:t>
      </w:r>
      <w:r>
        <w:rPr>
          <w:color w:val="000000"/>
        </w:rPr>
        <w:t xml:space="preserve"> </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The Building Solutions division operates in three niches: (i) modular building manufacturing; (ii) structural wall panel and wood foundation manufacturing, including building supply distribution operations; and (iii) glue-laminated timber (glulam) column, beam, and truss manufacturing.</w:t>
      </w:r>
    </w:p>
    <w:p>
      <w:pPr>
        <w:pStyle w:val="TextBody"/>
        <w:bidi w:val="0"/>
        <w:spacing w:before="0" w:after="0"/>
        <w:jc w:val="both"/>
        <w:rPr/>
      </w:pPr>
      <w:r>
        <w:rPr/>
      </w:r>
    </w:p>
    <w:p>
      <w:pPr>
        <w:pStyle w:val="TextBody"/>
        <w:bidi w:val="0"/>
        <w:spacing w:lineRule="auto" w:line="288" w:before="0" w:after="0"/>
        <w:jc w:val="both"/>
        <w:rPr/>
      </w:pPr>
      <w:r>
        <w:rPr>
          <w:rFonts w:ascii="sans-serif" w:hAnsi="sans-serif"/>
          <w:b/>
          <w:color w:val="000000"/>
          <w:sz w:val="20"/>
        </w:rPr>
        <w:t>Business Services</w:t>
      </w:r>
      <w:r>
        <w:rPr>
          <w:color w:val="000000"/>
        </w:rPr>
        <w:t xml:space="preserve"> </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The Business Services division provides flexible and scalable recruitment solutions to a global clientele, servicing organizations at all levels, from entry-level positions to the C-suite. The division focuses on mid-market and enterprise organizations worldwide, partnering consultatively with talent acquisition, HR, and procurement leaders to build diverse, high-impact teams and drive business success.</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0"/>
        </w:rPr>
      </w:pPr>
      <w:r>
        <w:rPr>
          <w:rFonts w:ascii="sans-serif" w:hAnsi="sans-serif"/>
          <w:b/>
          <w:color w:val="000000"/>
          <w:sz w:val="20"/>
        </w:rPr>
        <w:t xml:space="preserve">Energy Services </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The Energy Services division engages in the rental, sale, and repair of downhole tools used in the oil and gas, geothermal, mining, and water-well industries.</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0"/>
        </w:rPr>
      </w:pPr>
      <w:r>
        <w:rPr>
          <w:rFonts w:ascii="sans-serif" w:hAnsi="sans-serif"/>
          <w:b/>
          <w:color w:val="000000"/>
          <w:sz w:val="20"/>
        </w:rPr>
        <w:t xml:space="preserve">Investments </w:t>
      </w:r>
    </w:p>
    <w:p>
      <w:pPr>
        <w:pStyle w:val="TextBody"/>
        <w:bidi w:val="0"/>
        <w:spacing w:lineRule="auto" w:line="288"/>
        <w:jc w:val="both"/>
        <w:rPr>
          <w:rFonts w:ascii="sans-serif" w:hAnsi="sans-serif"/>
          <w:b w:val="false"/>
          <w:color w:val="000000"/>
          <w:sz w:val="20"/>
        </w:rPr>
      </w:pPr>
      <w:r>
        <w:rPr>
          <w:rFonts w:ascii="sans-serif" w:hAnsi="sans-serif"/>
          <w:b w:val="false"/>
          <w:color w:val="000000"/>
          <w:sz w:val="20"/>
        </w:rPr>
        <w:t>The Investments division manages and finances the Company’s real estate assets as well as its investment positions in private and public companies.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569" w:type="dxa"/>
        <w:jc w:val="left"/>
        <w:tblInd w:w="0" w:type="dxa"/>
        <w:tblLayout w:type="fixed"/>
        <w:tblCellMar>
          <w:top w:w="28" w:type="dxa"/>
          <w:left w:w="28" w:type="dxa"/>
          <w:bottom w:w="28" w:type="dxa"/>
          <w:right w:w="28" w:type="dxa"/>
        </w:tblCellMar>
      </w:tblPr>
      <w:tblGrid>
        <w:gridCol w:w="1142"/>
        <w:gridCol w:w="1003"/>
        <w:gridCol w:w="1424"/>
      </w:tblGrid>
      <w:tr>
        <w:trPr/>
        <w:tc>
          <w:tcPr>
            <w:tcW w:w="1142"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 xml:space="preserve">For more information contact: </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 xml:space="preserve">The Equity Group </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Lena Cati </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Senior Vice President </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212-836-9611 </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lcati@theequitygroup.com</w:t>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sans-serif" w:hAnsi="sans-serif"/>
          <w:b/>
          <w:color w:val="000000"/>
          <w:sz w:val="20"/>
          <w:u w:val="single"/>
        </w:rPr>
      </w:pPr>
      <w:r>
        <w:rPr>
          <w:rFonts w:ascii="sans-serif" w:hAnsi="sans-serif"/>
          <w:b/>
          <w:color w:val="000000"/>
          <w:sz w:val="20"/>
          <w:u w:val="single"/>
        </w:rPr>
        <w:t xml:space="preserve">Forward-Looking Statements </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This press release contains statements that the Company believes to be “forward-looking statements” within the meaning of Section 27A of the Securities Act of 1933, as amended, Section 21E of the Securities Exchange Act of 1934, as amended, and the Private Securities Litigation Reform Act of 1995. All statements other than statements of historical fact included in this press release, including statements regarding the Company’s future financial condition, results of operations, business operations and business prospects, are forward-looking statements. Words such as “anticipate,” “estimate,” “expect,” “project,” “intend,” “plan,” “predict,” “believe,” and similar words, expressions, and variations of these words and expressions are intended to identify forward-looking statements. All forward-looking statements are subject to important factors, risks, uncertainties, and assumptions, including industry and economic conditions that could cause actual results to differ materially from those described in the forward-looking statements. Such factors, risks, uncertainties, and assumptions include, but are not limited to, (1) global economic fluctuations, (2) the Company’s ability to successfully achieve its strategic initiatives, (3) risks related to potential acquisitions or dispositions of businesses by the Company, (4) risks related to the market price of the Company’s common stock relative to the value paid pursuant to the Merger Agreement, (5) unexpected costs, charges or expenses resulting from the Merger, (6) potential adverse reactions or changes to business relationships resulting from the completion of the Merger, (7) risks related to the inability of the combined company to successfully operate as a combined business, (8) risks associated with the possible failure to realize certain anticipated benefits of the proposed Merger, including with respect to future financial and operating results, (9) risks related to fluctuations in the Company’s operating results from quarter to quarter due to various factors such as rising inflationary pressures and interest rates, (10) the loss of or material reduction in our business with any of the Company’s largest customers, (11) the ability of clients to terminate their relationship with the Company at any time, (12) competition in the Company’s markets, (13) the negative cash flows and operating losses that may recur in the future, (14) risks relating to how future credit facilities may affect or restrict our operating flexibility, (15) risks associated with the Company’s investment strategy, (16) risks related to international operations, including foreign currency fluctuations, political events, trade wars, natural disasters or health crises, including the Russia-Ukraine war, and potential conflict in the Middle East, (17) the Company’s dependence on key management personnel, (18) the Company’s ability to attract and retain highly skilled professionals, management, and advisors, (19) the Company’s ability to collect accounts receivable, (20) the Company’s ability to maintain costs at an acceptable level, (21) the Company’s heavy reliance on information systems and the impact of potentially losing or failing to develop technology, (22) risks related to providing uninterrupted service to clients, (23) the Company’s exposure to employment-related claims from clients, employers and regulatory authorities, current and former employees in connection with the Company’s business reorganization initiatives, and limits on related insurance coverage, (24) the Company’s ability to utilize net operating loss carryforwards, (25) volatility of the Company’s stock price, (26) the impact of government regulations and deregulation efforts, (27) restrictions imposed by blocking arrangements, (28) risks related to the use of new and evolving technologies, (29) the adverse impacts of cybersecurity threats and attacks, (30) risks associated with our real estate ownership, (31) risks associated with the costs and availability of supplies and materials due to trade tariffs or other factors affecting the commodities and materials we use in our business, (32) risks associated with liability claims and disputes, (33) risks associated with restrictions on our operations caused by our indebtedness, (34) risks associated with the shutdown of the U.S. federal government, (35) risks associated with changes in tax laws or relations, and (36) those risks set forth in “Risk Factors in the Company’s Annual Report on Form 10-K for the year ended December 31, 2024.” The foregoing list should not be construed to be exhaustive. Actual results could differ materially from the forward-looking statements contained in this press release. In view of these uncertainties, you should not place undue reliance on any forward-looking statements, which are based on our current expectations. These forward-looking statements speak only as of the date of this press release. The Company assumes no obligation, and expressly disclaims any obligation, to update any forward-looking statements, whether as a result of new information, future events or otherwise.</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
        <w:jc w:val="both"/>
        <w:rPr/>
      </w:pPr>
      <w:r>
        <w:rPr/>
      </w:r>
    </w:p>
    <w:p>
      <w:pPr>
        <w:pStyle w:val="TextBody"/>
        <w:bidi w:val="0"/>
        <w:spacing w:before="0" w:after="24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1681</Words>
  <Characters>9713</Characters>
  <CharactersWithSpaces>11328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