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7275.xml.htm"/>
      <w:bookmarkStart w:id="1" w:name="kswkform4_17871772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Fruhbeis Todd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6"/>
        <w:gridCol w:w="904"/>
        <w:gridCol w:w="772"/>
        <w:gridCol w:w="600"/>
        <w:gridCol w:w="354"/>
        <w:gridCol w:w="824"/>
        <w:gridCol w:w="469"/>
        <w:gridCol w:w="631"/>
        <w:gridCol w:w="1188"/>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w:t>
            </w:r>
          </w:p>
        </w:tc>
        <w:tc>
          <w:tcPr>
            <w:tcW w:w="4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5,946</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61"/>
        <w:gridCol w:w="636"/>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the Issuer's 10.0% Series A Cumulative Perpetual Preferred Stock, par value $0.001 per share (the "Series A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settlement of Restricted Stock Units in shares of Series A Preferred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18, 2025, the Reporting Person was granted Restricted Stock Units by Star Operating Companies, Inc. ("SOC"), each of which represented the right to receive, at settlement, one share of SOC Series A Preferred Stock ("SOC RSUs"). Pursuant to the Agreement and Plan of Merger, dated as of May 21, 2025, by and among SOC, the Issuer and HSON Merger Sub, Inc., a wholly owned subsidiary of the Issuer, the Reporting Person's SOC RSUs were exchanged for 535 Restricted Stock Units. As to this grant, one hundred percent (100%) of the Restricted Stock Units vested on August 18,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Bible, as Attorney-in-Fact for Todd Fruhbeis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9470"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749</Words>
  <Characters>3994</Characters>
  <CharactersWithSpaces>4661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