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7121.xml.htm"/>
      <w:bookmarkStart w:id="1" w:name="kswkform4_17871771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Eberwein Jeffrey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STAR EQUITY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 FOREST AVENUE,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OLD GREENWICH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Star Equity Holdings, Inc.</w:t>
              </w:r>
            </w:hyperlink>
            <w:r>
              <w:rPr/>
              <w:t xml:space="preserve"> [ </w:t>
            </w:r>
            <w:r>
              <w:rPr>
                <w:rFonts w:ascii="Times;serif" w:hAnsi="Times;serif"/>
                <w:color w:val="0000FF"/>
                <w:sz w:val="24"/>
                <w:shd w:fill="FFFFFF" w:val="clear"/>
              </w:rPr>
              <w:t>STRR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6"/>
        <w:gridCol w:w="904"/>
        <w:gridCol w:w="772"/>
        <w:gridCol w:w="600"/>
        <w:gridCol w:w="354"/>
        <w:gridCol w:w="824"/>
        <w:gridCol w:w="469"/>
        <w:gridCol w:w="631"/>
        <w:gridCol w:w="1188"/>
        <w:gridCol w:w="1016"/>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860</w:t>
            </w:r>
          </w:p>
        </w:tc>
        <w:tc>
          <w:tcPr>
            <w:tcW w:w="4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765,937</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1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61"/>
        <w:gridCol w:w="636"/>
        <w:gridCol w:w="801"/>
        <w:gridCol w:w="936"/>
        <w:gridCol w:w="831"/>
        <w:gridCol w:w="846"/>
      </w:tblGrid>
      <w:tr>
        <w:trPr>
          <w:tblHeader w:val="true"/>
        </w:trPr>
        <w:tc>
          <w:tcPr>
            <w:tcW w:w="118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4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860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Series A Preferred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the right to receive, at settlement, one share of the Issuer's 10.0% Series A Cumulative Perpetual Preferred Stock, par value $0.001 per share (the "Series A Preferred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represents the settlement of Restricted Stock Units in shares of Series A Preferred Stock on their scheduled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August 18, 2025, the Reporting Person was granted Restricted Stock Units by Star Operating Companies, Inc. ("SOC"), each of which represented the right to receive, at settlement, one share of SOC Series A Preferred Stock ("SOC RSUs"). Pursuant to the Agreement and Plan of Merger, dated as of May 21, 2025, by and among SOC, the Issuer and HSON Merger Sub, Inc., a wholly owned subsidiary of the Issuer, the Reporting Person's SOC RSUs were exchanged for 860 Restricted Stock Units. As to this grant, one hundred percent (100%) of the Restricted Stock Units vested on August 18,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E. Eberwein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8312" TargetMode="External"/><Relationship Id="rId5" Type="http://schemas.openxmlformats.org/officeDocument/2006/relationships/hyperlink" Target="http://www.sec.gov/cgi-bin/browse-edgar?action=getcompany&amp;CIK=00012107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748</Words>
  <Characters>3987</Characters>
  <CharactersWithSpaces>4652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