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370539.xml.htm"/>
      <w:bookmarkStart w:id="1" w:name="kswkform4_17853705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Bible Hannah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STAR EQUITY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3,217</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w:t>
            </w:r>
            <w:r>
              <w:rPr>
                <w:rFonts w:ascii="Times;serif" w:hAnsi="Times;serif"/>
                <w:color w:val="008000"/>
                <w:position w:val="7"/>
                <w:sz w:val="16"/>
                <w:sz w:val="20"/>
                <w:shd w:fill="FFFFFF" w:val="clear"/>
              </w:rPr>
              <w:t>(3)</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3,106</w:t>
            </w:r>
            <w:r>
              <w:rPr>
                <w:rFonts w:ascii="Times;serif" w:hAnsi="Times;serif"/>
                <w:color w:val="008000"/>
                <w:position w:val="7"/>
                <w:sz w:val="16"/>
                <w:sz w:val="20"/>
                <w:shd w:fill="FFFFFF" w:val="clear"/>
              </w:rPr>
              <w:t>(4)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settlement of Restricted Stock Units in shares of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withheld by Issuer to satisfy the minimum statutory tax withholding requirements on vesting of Restricted Stock Units.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1,485 shares of common stock and 1,621 shares of RSUs granted to the Reporting Person on November 8, 2024, March 25, 2025, and March 25, 2026. The RSUs are subject to the Reporting Person continuing to provide service through the RSU's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July 27, 2023, the Reporting Person was granted Restricted Stock Units, as to this grant, one-third of the Restricted Stock Units vested on July 27, 2024, one-third of the Restricted Stock Units vested on July 27, 2025, and one-third of the Restricted Stock Units vested on July 27,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Bible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7210"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3992</Characters>
  <CharactersWithSpaces>4650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