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Eberwein Jeffrey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STAR EQUITY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 FOREST AVENUE, SUITE 101</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OLD</w:t>
      </w:r>
      <w:r>
        <w:rPr>
          <w:rFonts w:ascii="Times New Roman" w:cs="Times New Roman" w:eastAsia="Times New Roman" w:hAnsi="Times New Roman"/>
          <w:sz w:val="17"/>
          <w:szCs w:val="17"/>
          <w:color w:val="0000FF"/>
        </w:rPr>
        <w:t xml:space="preserve"> CT 06870 GREENWICH</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Star Equity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STRR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6"/>
        </w:trPr>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06/02/2026</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4,881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11.61</w:t>
            </w:r>
            <w:r>
              <w:rPr>
                <w:rFonts w:ascii="Times New Roman" w:cs="Times New Roman" w:eastAsia="Times New Roman" w:hAnsi="Times New Roman"/>
                <w:sz w:val="22"/>
                <w:szCs w:val="22"/>
                <w:color w:val="008000"/>
                <w:w w:val="92"/>
                <w:vertAlign w:val="superscript"/>
              </w:rPr>
              <w:t>(1)</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1,086,007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11.51</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1,086,108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1,430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11.51</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1,087,538</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rounded to the nearest cent. These shares were purchased in multiple transactions at prices ranging from $11.41 to $11.61 on June 2, 2026. The Reporting Person undertakes to provide the Issuer and any security holder of the Issuer, or the staff of the Securities and Exchange Commission, upon request, full information regarding the number of shares purchased at each separate price such shares were purchased.</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21,125 shares of restricted stock credited to the Reporting Person's account under the Issuer's 2009 Incentive Plan; (ii) 6,750 RSUs; and (iii) 1,058,132 shares of common stock. Excludes 2,000 shares indirectly owned in contributory 401(k) and IRA accounts. Each share of restricted stock and each RSU represents the right to receive, at settlement, one share of common stock.</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21,125 shares of restricted stock credited to the Reporting Person's account under the Issuer's 2009 Incentive Plan; (ii) 6,750 RSUs; and (iii) 1,058,233 shares of common stock. Excludes 2,000 shares indirectly owned in contributory 401(k) and IRA accounts. Each share of restricted stock and each RSU represents the right to receive, at settlement, one share of common stock.</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21,125 shares of restricted stock credited to the Reporting Person's account under the Issuer's 2009 Incentive Plan; (ii) 6,750 RSUs; and (iii) 1,059,663 shares of common stock. Excludes 2,000 shares indirectly owned in contributory 401(k) and IRA accounts. Each share of restricted stock and each RSU represents the right to receive, at settlement, one share of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Jeffrey E. Eberwein</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06/04/2026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8312" TargetMode="External"/><Relationship Id="rId14" Type="http://schemas.openxmlformats.org/officeDocument/2006/relationships/hyperlink" Target="http://www.sec.gov/cgi-bin/browse-edgar?action=getcompany&amp;CIK=00012107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2026-06-04T16:49:15Z</dcterms:created>
  <dcterms:modified xsi:type="dcterms:W3CDTF">2026-06-04T16:49:15Z</dcterms:modified>
</cp:coreProperties>
</file>