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Eberwein Jeffrey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STAR EQUITY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 FOREST AVENUE, SUITE 101</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OLD</w:t>
      </w:r>
      <w:r>
        <w:rPr>
          <w:rFonts w:ascii="Times New Roman" w:cs="Times New Roman" w:eastAsia="Times New Roman" w:hAnsi="Times New Roman"/>
          <w:sz w:val="17"/>
          <w:szCs w:val="17"/>
          <w:color w:val="0000FF"/>
        </w:rPr>
        <w:t xml:space="preserve"> CT 06870 GREENWICH</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Star Equity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STRR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6"/>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06/05/2026</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06/05/2026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3,443</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1,090,981</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06/08/2026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11.45</w:t>
            </w:r>
            <w:r>
              <w:rPr>
                <w:rFonts w:ascii="Times New Roman" w:cs="Times New Roman" w:eastAsia="Times New Roman" w:hAnsi="Times New Roman"/>
                <w:sz w:val="22"/>
                <w:szCs w:val="22"/>
                <w:color w:val="008000"/>
                <w:w w:val="92"/>
                <w:vertAlign w:val="superscript"/>
              </w:rPr>
              <w:t>(2)</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1,100,981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2,849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11.23</w:t>
            </w:r>
            <w:r>
              <w:rPr>
                <w:rFonts w:ascii="Times New Roman" w:cs="Times New Roman" w:eastAsia="Times New Roman" w:hAnsi="Times New Roman"/>
                <w:sz w:val="22"/>
                <w:szCs w:val="22"/>
                <w:color w:val="008000"/>
                <w:w w:val="92"/>
                <w:vertAlign w:val="superscript"/>
              </w:rPr>
              <w:t>(2)</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1,103,830</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1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21,125 shares of restricted stock credited to the Reporting Person's account under the Issuer's 2009 Incentive Plan; (ii) 6,750 RSUs; and (iii) 1,063,106 shares of common stock. Excludes 2,000 shares indirectly owned in contributory 401(k) and IRA accounts. Each share of restricted stock and each RSU represents the right to receive, at settlement, one share of common stock.</w:t>
      </w:r>
    </w:p>
    <w:p>
      <w:pPr>
        <w:spacing w:after="0" w:line="7" w:lineRule="exact"/>
        <w:rPr>
          <w:rFonts w:ascii="Times New Roman" w:cs="Times New Roman" w:eastAsia="Times New Roman" w:hAnsi="Times New Roman"/>
          <w:sz w:val="13"/>
          <w:szCs w:val="13"/>
          <w:color w:val="008000"/>
        </w:rPr>
      </w:pPr>
    </w:p>
    <w:p>
      <w:pPr>
        <w:jc w:val="both"/>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rounded to the nearest cent. These shares were purchased in multiple transactions at prices ranging from $11.14 to $11.51 on June 8, 2026 and $11.01 to $11.26 on June 9, 2026. The Reporting Person undertakes to provide the Issuer and any security holder of the Issuer, or the staff of the Securities and Exchange Commission, upon request, full information regarding the number of shares purchased at each separate price such shares were purchased.</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21,125 shares of restricted stock credited to the Reporting Person's account under the Issuer's 2009 Incentive Plan; (ii) 6,750 RSUs; and (iii) 1,073,106 shares of common stock. Excludes 2,000 shares indirectly owned in contributory 401(k) and IRA accounts. Each share of restricted stock and each RSU represents the right to receive, at settlement, one share of common stock.</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21,125 shares of restricted stock credited to the Reporting Person's account under the Issuer's 2009 Incentive Plan; (ii) 6,750 RSUs; and (iii) 1,075,955 shares of common stock. Excludes 2,000 shares indirectly owned in contributory 401(k) and IRA accounts. Each share of restricted stock and each RSU represents the right to receive, at settlement, one share of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Jeffrey E. Eberwein</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06/09/2026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8312" TargetMode="External"/><Relationship Id="rId14" Type="http://schemas.openxmlformats.org/officeDocument/2006/relationships/hyperlink" Target="http://www.sec.gov/cgi-bin/browse-edgar?action=getcompany&amp;CIK=00012107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2026-06-09T16:05:39Z</dcterms:created>
  <dcterms:modified xsi:type="dcterms:W3CDTF">2026-06-09T16:05:39Z</dcterms:modified>
</cp:coreProperties>
</file>