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212.xml.htm"/>
      <w:bookmarkStart w:id="1" w:name="kswkform4_17871772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Parks Louis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w:t>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the Issuer's 10.0% Series A Cumulative Perpetual Preferred Stock, par value $0.001 per share (the "Series A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settlement of Restricted Stock Units in shares of Series A Preferred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18, 2025, the Reporting Person was granted Restricted Stock Units by Star Operating Companies, Inc. ("SOC"), each of which represented the right to receive, at settlement, one share of SOC Series A Preferred Stock ("SOC RSUs"). Pursuant to the Agreement and Plan of Merger, dated as of May 21, 2025, by and among SOC, the Issuer and HSON Merger Sub, Inc., a wholly owned subsidiary of the Issuer, the Reporting Person's SOC RSUs were exchanged for 485 Restricted Stock Units. As to this grant, one hundred percent (100%) of the Restricted Stock Units vested on August 18,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 as Attorney-in-Fact for Louis Parks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214"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3982</Characters>
  <CharactersWithSpaces>4649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