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Parks Louis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STAR EQUITY HOLDINGS,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53 FOREST AVENUE, SUITE 101</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120"/>
        <w:spacing w:after="0"/>
        <w:rPr>
          <w:sz w:val="20"/>
          <w:szCs w:val="20"/>
          <w:color w:val="auto"/>
        </w:rPr>
      </w:pPr>
      <w:r>
        <w:rPr>
          <w:rFonts w:ascii="Times New Roman" w:cs="Times New Roman" w:eastAsia="Times New Roman" w:hAnsi="Times New Roman"/>
          <w:sz w:val="34"/>
          <w:szCs w:val="34"/>
          <w:color w:val="0000FF"/>
          <w:vertAlign w:val="superscript"/>
        </w:rPr>
        <w:t>OLD</w:t>
      </w:r>
      <w:r>
        <w:rPr>
          <w:rFonts w:ascii="Times New Roman" w:cs="Times New Roman" w:eastAsia="Times New Roman" w:hAnsi="Times New Roman"/>
          <w:sz w:val="17"/>
          <w:szCs w:val="17"/>
          <w:color w:val="0000FF"/>
        </w:rPr>
        <w:t xml:space="preserve"> CT 06870 GREENWICH</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Star Equity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STRR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1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100" w:type="dxa"/>
            <w:vAlign w:val="bottom"/>
            <w:tcBorders>
              <w:bottom w:val="single" w:sz="8" w:color="2C2C2C"/>
            </w:tcBorders>
          </w:tcPr>
          <w:p>
            <w:pPr>
              <w:spacing w:after="0"/>
              <w:rPr>
                <w:sz w:val="15"/>
                <w:szCs w:val="15"/>
                <w:color w:val="auto"/>
              </w:rPr>
            </w:pPr>
          </w:p>
        </w:tc>
        <w:tc>
          <w:tcPr>
            <w:tcW w:w="15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05/27/2026</w:t>
            </w: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1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120" w:space="720"/>
            <w:col w:w="7240"/>
          </w:cols>
          <w:pgMar w:left="460" w:top="219" w:right="359" w:bottom="1440" w:gutter="0" w:footer="0" w:header="0"/>
          <w:type w:val="continuous"/>
        </w:sectPr>
      </w:pPr>
    </w:p>
    <w:p>
      <w:pPr>
        <w:spacing w:after="0" w:line="6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05/27/2026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5,504</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14,813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5,504 Restricted Stock Units credited to the Reporting Person's account under the Issuer's 2009 Incentive Stock and Awards Plan, as amended and restated. Each Restricted Stock Unit represents the right to receive, at settlement, one share of common stock payable upon the first anniversary of the grant date. The number of Restricted Stock Units granted was determined using the closing price on May 27, 2026.</w:t>
      </w:r>
    </w:p>
    <w:p>
      <w:pPr>
        <w:spacing w:after="0" w:line="20" w:lineRule="exact"/>
        <w:rPr>
          <w:rFonts w:ascii="Times New Roman" w:cs="Times New Roman" w:eastAsia="Times New Roman" w:hAnsi="Times New Roman"/>
          <w:sz w:val="13"/>
          <w:szCs w:val="13"/>
          <w:color w:val="008000"/>
        </w:rPr>
      </w:pPr>
    </w:p>
    <w:p>
      <w:pPr>
        <w:ind w:left="40" w:right="6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12,516 Restricted Stock Units credited to the Reporting Person's account under the Issuer's 2009 Incentive Stock and Awards Plan, as amended and restated. Each Restricted Stock Unit represents the right to receive, at settlement, one share of common stock payable upon the first anniversary of the respective dates of grant of each award of Restricted Stock Units.</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Hannah Bible,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Louis Parks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172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1727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29214" TargetMode="External"/><Relationship Id="rId14" Type="http://schemas.openxmlformats.org/officeDocument/2006/relationships/hyperlink" Target="http://www.sec.gov/cgi-bin/browse-edgar?action=getcompany&amp;CIK=00012107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2026-05-28T19:04:31Z</dcterms:created>
  <dcterms:modified xsi:type="dcterms:W3CDTF">2026-05-28T19:04:31Z</dcterms:modified>
</cp:coreProperties>
</file>